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67CB" w14:textId="77777777" w:rsidR="00304206" w:rsidRPr="009B761F" w:rsidRDefault="00304206" w:rsidP="007570FF">
      <w:pPr>
        <w:pStyle w:val="BodyText"/>
        <w:ind w:right="424"/>
        <w:rPr>
          <w:rFonts w:asciiTheme="majorHAnsi" w:hAnsiTheme="majorHAnsi"/>
          <w:color w:val="231F20"/>
          <w:w w:val="130"/>
        </w:rPr>
      </w:pPr>
      <w:r w:rsidRPr="009B761F">
        <w:rPr>
          <w:rFonts w:asciiTheme="majorHAnsi" w:hAnsiTheme="majorHAnsi"/>
          <w:noProof/>
        </w:rPr>
        <mc:AlternateContent>
          <mc:Choice Requires="wps">
            <w:drawing>
              <wp:anchor distT="0" distB="0" distL="114300" distR="114300" simplePos="0" relativeHeight="251664384" behindDoc="0" locked="0" layoutInCell="1" allowOverlap="1" wp14:anchorId="602C62FF" wp14:editId="21DECA19">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9FF975"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C62FF"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039FF975"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15A5D9A6" w14:textId="77777777" w:rsidR="00304206" w:rsidRPr="009B761F" w:rsidRDefault="00304206" w:rsidP="00304206">
      <w:pPr>
        <w:pStyle w:val="BodyText"/>
        <w:ind w:left="142" w:right="424"/>
        <w:jc w:val="center"/>
        <w:rPr>
          <w:rFonts w:asciiTheme="majorHAnsi" w:hAnsiTheme="majorHAnsi"/>
        </w:rPr>
      </w:pPr>
      <w:r w:rsidRPr="009B761F">
        <w:rPr>
          <w:rFonts w:asciiTheme="majorHAnsi" w:hAnsiTheme="majorHAnsi"/>
          <w:noProof/>
        </w:rPr>
        <w:drawing>
          <wp:anchor distT="0" distB="0" distL="114300" distR="114300" simplePos="0" relativeHeight="251670528" behindDoc="0" locked="0" layoutInCell="1" allowOverlap="1" wp14:anchorId="7AFBE56A" wp14:editId="2C9D0686">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9B761F">
        <w:rPr>
          <w:rFonts w:asciiTheme="majorHAnsi" w:hAnsiTheme="majorHAnsi"/>
          <w:noProof/>
        </w:rPr>
        <w:drawing>
          <wp:anchor distT="0" distB="0" distL="114300" distR="114300" simplePos="0" relativeHeight="251666432" behindDoc="0" locked="0" layoutInCell="1" allowOverlap="1" wp14:anchorId="1F1015A1" wp14:editId="471A77E3">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9B761F">
        <w:rPr>
          <w:rFonts w:asciiTheme="majorHAnsi" w:hAnsiTheme="majorHAnsi"/>
          <w:noProof/>
        </w:rPr>
        <mc:AlternateContent>
          <mc:Choice Requires="wps">
            <w:drawing>
              <wp:anchor distT="0" distB="0" distL="114300" distR="114300" simplePos="0" relativeHeight="251659264" behindDoc="0" locked="0" layoutInCell="1" allowOverlap="1" wp14:anchorId="5D76145B" wp14:editId="15F7DF8C">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7806"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9B761F">
        <w:rPr>
          <w:rFonts w:asciiTheme="majorHAnsi" w:hAnsiTheme="majorHAnsi"/>
          <w:color w:val="231F20"/>
          <w:w w:val="130"/>
        </w:rPr>
        <w:t>CARC</w:t>
      </w:r>
      <w:r w:rsidRPr="009B761F">
        <w:rPr>
          <w:rFonts w:asciiTheme="majorHAnsi" w:hAnsiTheme="majorHAnsi"/>
          <w:color w:val="231F20"/>
          <w:spacing w:val="7"/>
          <w:w w:val="130"/>
        </w:rPr>
        <w:t xml:space="preserve"> </w:t>
      </w:r>
      <w:r w:rsidRPr="009B761F">
        <w:rPr>
          <w:rFonts w:asciiTheme="majorHAnsi" w:hAnsiTheme="majorHAnsi"/>
          <w:color w:val="231F20"/>
          <w:w w:val="130"/>
        </w:rPr>
        <w:t>Research</w:t>
      </w:r>
      <w:r w:rsidRPr="009B761F">
        <w:rPr>
          <w:rFonts w:asciiTheme="majorHAnsi" w:hAnsiTheme="majorHAnsi"/>
          <w:color w:val="231F20"/>
          <w:spacing w:val="7"/>
          <w:w w:val="130"/>
        </w:rPr>
        <w:t xml:space="preserve"> </w:t>
      </w:r>
      <w:r w:rsidRPr="009B761F">
        <w:rPr>
          <w:rFonts w:asciiTheme="majorHAnsi" w:hAnsiTheme="majorHAnsi"/>
          <w:color w:val="231F20"/>
          <w:w w:val="130"/>
        </w:rPr>
        <w:t>in</w:t>
      </w:r>
      <w:r w:rsidRPr="009B761F">
        <w:rPr>
          <w:rFonts w:asciiTheme="majorHAnsi" w:hAnsiTheme="majorHAnsi"/>
          <w:color w:val="231F20"/>
          <w:spacing w:val="7"/>
          <w:w w:val="130"/>
        </w:rPr>
        <w:t xml:space="preserve"> </w:t>
      </w:r>
      <w:r w:rsidRPr="009B761F">
        <w:rPr>
          <w:rFonts w:asciiTheme="majorHAnsi" w:hAnsiTheme="majorHAnsi"/>
          <w:color w:val="231F20"/>
          <w:w w:val="130"/>
        </w:rPr>
        <w:t>Social</w:t>
      </w:r>
      <w:r w:rsidRPr="009B761F">
        <w:rPr>
          <w:rFonts w:asciiTheme="majorHAnsi" w:hAnsiTheme="majorHAnsi"/>
          <w:color w:val="231F20"/>
          <w:spacing w:val="7"/>
          <w:w w:val="130"/>
        </w:rPr>
        <w:t xml:space="preserve"> </w:t>
      </w:r>
      <w:r w:rsidRPr="009B761F">
        <w:rPr>
          <w:rFonts w:asciiTheme="majorHAnsi" w:hAnsiTheme="majorHAnsi"/>
          <w:color w:val="231F20"/>
          <w:w w:val="130"/>
        </w:rPr>
        <w:t>Sciences</w:t>
      </w:r>
      <w:r w:rsidRPr="009B761F">
        <w:rPr>
          <w:rFonts w:asciiTheme="majorHAnsi" w:hAnsiTheme="majorHAnsi"/>
          <w:color w:val="231F20"/>
          <w:spacing w:val="7"/>
          <w:w w:val="130"/>
        </w:rPr>
        <w:t xml:space="preserve"> </w:t>
      </w:r>
      <w:r w:rsidR="0027311D">
        <w:rPr>
          <w:rFonts w:asciiTheme="majorHAnsi" w:hAnsiTheme="majorHAnsi"/>
          <w:color w:val="231F20"/>
          <w:w w:val="130"/>
        </w:rPr>
        <w:t>4(2</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6B21AD" w:rsidRPr="009B761F">
        <w:rPr>
          <w:rFonts w:asciiTheme="majorHAnsi" w:hAnsiTheme="majorHAnsi"/>
          <w:color w:val="231F20"/>
          <w:w w:val="130"/>
        </w:rPr>
        <w:t>(2025</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27311D">
        <w:rPr>
          <w:rFonts w:asciiTheme="majorHAnsi" w:hAnsiTheme="majorHAnsi"/>
          <w:color w:val="231F20"/>
          <w:w w:val="130"/>
        </w:rPr>
        <w:t>39-50</w:t>
      </w:r>
    </w:p>
    <w:p w14:paraId="169B755F" w14:textId="77777777" w:rsidR="005C22CC" w:rsidRPr="009B761F" w:rsidRDefault="00304206" w:rsidP="00304206">
      <w:pPr>
        <w:tabs>
          <w:tab w:val="right" w:pos="10800"/>
        </w:tabs>
        <w:rPr>
          <w:rFonts w:asciiTheme="majorHAnsi" w:hAnsiTheme="majorHAnsi"/>
        </w:rPr>
      </w:pPr>
      <w:r w:rsidRPr="009B761F">
        <w:rPr>
          <w:rFonts w:asciiTheme="majorHAnsi" w:hAnsiTheme="majorHAnsi"/>
          <w:noProof/>
        </w:rPr>
        <mc:AlternateContent>
          <mc:Choice Requires="wps">
            <w:drawing>
              <wp:anchor distT="0" distB="0" distL="114300" distR="114300" simplePos="0" relativeHeight="251668480" behindDoc="0" locked="0" layoutInCell="1" allowOverlap="1" wp14:anchorId="6147B455" wp14:editId="16DDFCBE">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2EE69"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9B761F">
        <w:rPr>
          <w:rFonts w:asciiTheme="majorHAnsi" w:hAnsiTheme="majorHAnsi"/>
          <w:noProof/>
          <w:sz w:val="15"/>
        </w:rPr>
        <mc:AlternateContent>
          <mc:Choice Requires="wps">
            <w:drawing>
              <wp:anchor distT="0" distB="0" distL="0" distR="0" simplePos="0" relativeHeight="251661312" behindDoc="1" locked="0" layoutInCell="1" allowOverlap="1" wp14:anchorId="5D35D306" wp14:editId="74ED6A63">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2A7F5474"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71D7BD34"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7C8276A3"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5D35D306"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2A7F5474"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71D7BD34"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7C8276A3"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9B761F">
        <w:rPr>
          <w:rFonts w:asciiTheme="majorHAnsi" w:hAnsiTheme="majorHAnsi"/>
        </w:rPr>
        <w:tab/>
      </w:r>
    </w:p>
    <w:p w14:paraId="64F27C99"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b/>
          <w:bCs/>
        </w:rPr>
      </w:pPr>
      <w:r w:rsidRPr="0027311D">
        <w:rPr>
          <w:rFonts w:asciiTheme="majorHAnsi" w:eastAsia="Times New Roman" w:hAnsiTheme="majorHAnsi" w:cs="Times New Roman"/>
          <w:b/>
          <w:bCs/>
        </w:rPr>
        <w:t>THE DIGITAL DIVIDE 2.0: ASSESSING EQUITY GAPS IN AI-ENHANCED PERSONALIZED LEARNING ENVIRONMENTS</w:t>
      </w:r>
    </w:p>
    <w:p w14:paraId="45A2F789" w14:textId="77777777" w:rsidR="0027311D" w:rsidRPr="0027311D" w:rsidRDefault="0027311D" w:rsidP="0027311D">
      <w:pPr>
        <w:spacing w:line="240" w:lineRule="auto"/>
        <w:jc w:val="both"/>
        <w:rPr>
          <w:rFonts w:asciiTheme="majorHAnsi" w:hAnsiTheme="majorHAnsi" w:cs="Times New Roman"/>
          <w:bCs/>
        </w:rPr>
      </w:pPr>
      <w:r w:rsidRPr="0027311D">
        <w:rPr>
          <w:rFonts w:asciiTheme="majorHAnsi" w:eastAsia="Times New Roman" w:hAnsiTheme="majorHAnsi" w:cs="Times New Roman"/>
          <w:bCs/>
        </w:rPr>
        <w:t>Dr Imran Ali Khan,</w:t>
      </w:r>
      <w:r w:rsidRPr="0027311D">
        <w:rPr>
          <w:rFonts w:asciiTheme="majorHAnsi" w:eastAsia="Times New Roman" w:hAnsiTheme="majorHAnsi" w:cs="Times New Roman"/>
          <w:b/>
          <w:bCs/>
        </w:rPr>
        <w:t xml:space="preserve"> </w:t>
      </w:r>
      <w:r w:rsidRPr="0027311D">
        <w:rPr>
          <w:rFonts w:asciiTheme="majorHAnsi" w:hAnsiTheme="majorHAnsi" w:cs="Times New Roman"/>
          <w:bCs/>
        </w:rPr>
        <w:t xml:space="preserve">Assistant Professor, Department of English, Qurtuba University of Science and Information Technology Peshawar. Email: </w:t>
      </w:r>
      <w:hyperlink r:id="rId15" w:history="1">
        <w:r w:rsidRPr="0027311D">
          <w:rPr>
            <w:rStyle w:val="Hyperlink"/>
            <w:rFonts w:asciiTheme="majorHAnsi" w:hAnsiTheme="majorHAnsi" w:cs="Times New Roman"/>
            <w:bCs/>
          </w:rPr>
          <w:t>imran_khattak@hotmail.com</w:t>
        </w:r>
      </w:hyperlink>
      <w:r w:rsidRPr="0027311D">
        <w:rPr>
          <w:rFonts w:asciiTheme="majorHAnsi" w:hAnsiTheme="majorHAnsi" w:cs="Times New Roman"/>
          <w:bCs/>
        </w:rPr>
        <w:t xml:space="preserve"> </w:t>
      </w:r>
    </w:p>
    <w:p w14:paraId="17FF2993" w14:textId="77777777" w:rsidR="0027311D" w:rsidRPr="0027311D" w:rsidRDefault="0027311D" w:rsidP="0027311D">
      <w:pPr>
        <w:tabs>
          <w:tab w:val="right" w:pos="10800"/>
        </w:tabs>
        <w:spacing w:line="240" w:lineRule="auto"/>
        <w:jc w:val="both"/>
        <w:rPr>
          <w:rStyle w:val="Hyperlink"/>
          <w:rFonts w:asciiTheme="majorHAnsi" w:hAnsiTheme="majorHAnsi" w:cs="Times New Roman"/>
          <w:bCs/>
        </w:rPr>
      </w:pPr>
      <w:r w:rsidRPr="0027311D">
        <w:rPr>
          <w:rFonts w:asciiTheme="majorHAnsi" w:eastAsia="Times New Roman" w:hAnsiTheme="majorHAnsi" w:cs="Times New Roman"/>
        </w:rPr>
        <w:t xml:space="preserve">Warda Kamal, </w:t>
      </w:r>
      <w:r w:rsidRPr="0027311D">
        <w:rPr>
          <w:rFonts w:asciiTheme="majorHAnsi" w:hAnsiTheme="majorHAnsi" w:cs="Times New Roman"/>
          <w:bCs/>
        </w:rPr>
        <w:t xml:space="preserve">Lecturer, Department of Social Science, University of Peshawar. </w:t>
      </w:r>
      <w:hyperlink r:id="rId16" w:history="1">
        <w:r w:rsidRPr="0027311D">
          <w:rPr>
            <w:rStyle w:val="Hyperlink"/>
            <w:rFonts w:asciiTheme="majorHAnsi" w:hAnsiTheme="majorHAnsi" w:cs="Times New Roman"/>
            <w:bCs/>
          </w:rPr>
          <w:t>warda_kamal@gmail.com</w:t>
        </w:r>
      </w:hyperlink>
    </w:p>
    <w:p w14:paraId="32EAA7F9" w14:textId="77777777" w:rsidR="001D45B8" w:rsidRPr="0027311D" w:rsidRDefault="001D45B8" w:rsidP="0027311D">
      <w:pPr>
        <w:shd w:val="clear" w:color="auto" w:fill="EEECE1" w:themeFill="background2"/>
        <w:tabs>
          <w:tab w:val="right" w:pos="10800"/>
        </w:tabs>
        <w:spacing w:line="240" w:lineRule="auto"/>
        <w:jc w:val="both"/>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27311D">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6F3ABE71" w14:textId="77777777" w:rsidR="0027311D" w:rsidRPr="0027311D" w:rsidRDefault="0027311D" w:rsidP="0027311D">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The increasing application of Artificial Intelligence (AI) in education, i.e. AI-based personalized learning environment, has the potential to change the learning process of learners. However, the innovation is disruptive with regards to equity particularly the digital divide that may further widen the existing educational inequality. The author of the present paper will discuss the disparities of AI-based educational resources with equity considerations and their consequences on the performance of learners belonging to different socio-economic groups. The paper is based on a mixed-method design and examines the use of AI technologies in personalized learning environments and assesses their accessibility to the underrepresented student groups. It was a qualitative interview with a quantitative analysis of the educational outcomes of datasets obtained in other school districts. The broad implications of the findings are that despite the huge advantages of AI-based learning experiences, it also discriminates underprivileged students, since only those who are better off and live in larger cities are advantaged. The paper ends with an explanation of the implications of the differences and recommendations on how the AI based personalized learning could be made more accessible, equitable, and effective in a range of educational environments.</w:t>
      </w:r>
    </w:p>
    <w:p w14:paraId="3BA8DDBA" w14:textId="77777777" w:rsidR="0027311D" w:rsidRPr="0027311D" w:rsidRDefault="0027311D" w:rsidP="0027311D">
      <w:pPr>
        <w:shd w:val="clear" w:color="auto" w:fill="EEECE1" w:themeFill="background2"/>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b/>
          <w:bCs/>
        </w:rPr>
        <w:t>Keywords</w:t>
      </w:r>
      <w:r w:rsidRPr="0027311D">
        <w:rPr>
          <w:rFonts w:asciiTheme="majorHAnsi" w:eastAsia="Times New Roman" w:hAnsiTheme="majorHAnsi" w:cs="Times New Roman"/>
          <w:i/>
          <w:iCs/>
        </w:rPr>
        <w:t xml:space="preserve">: </w:t>
      </w:r>
      <w:r w:rsidRPr="0027311D">
        <w:rPr>
          <w:rFonts w:asciiTheme="majorHAnsi" w:eastAsia="Times New Roman" w:hAnsiTheme="majorHAnsi" w:cs="Times New Roman"/>
          <w:iCs/>
        </w:rPr>
        <w:t>Digital Divide, AI, Personalized Learning, Educational Equity, Socio-Economic Disparities, Machine Learning, Educational Technology.</w:t>
      </w:r>
    </w:p>
    <w:p w14:paraId="584EF8F8" w14:textId="77777777" w:rsidR="004F65C6" w:rsidRPr="009B761F" w:rsidRDefault="004F65C6" w:rsidP="009B761F">
      <w:pPr>
        <w:pStyle w:val="BodyText"/>
        <w:spacing w:before="201"/>
        <w:jc w:val="both"/>
        <w:rPr>
          <w:rFonts w:asciiTheme="majorHAnsi" w:hAnsiTheme="majorHAnsi"/>
          <w:sz w:val="22"/>
          <w:szCs w:val="22"/>
        </w:rPr>
      </w:pPr>
      <w:r w:rsidRPr="009B761F">
        <w:rPr>
          <w:rFonts w:asciiTheme="majorHAnsi" w:hAnsiTheme="majorHAnsi"/>
          <w:b/>
          <w:bCs/>
          <w:sz w:val="22"/>
          <w:szCs w:val="22"/>
        </w:rPr>
        <w:t>INTRODUCTION</w:t>
      </w:r>
    </w:p>
    <w:p w14:paraId="68B2181C" w14:textId="77777777" w:rsidR="0027311D" w:rsidRPr="0027311D" w:rsidRDefault="0027311D" w:rsidP="0027311D">
      <w:pPr>
        <w:spacing w:before="100" w:beforeAutospacing="1" w:after="100" w:afterAutospacing="1" w:line="240" w:lineRule="auto"/>
        <w:jc w:val="both"/>
        <w:outlineLvl w:val="2"/>
        <w:rPr>
          <w:rFonts w:asciiTheme="majorHAnsi" w:eastAsia="Times New Roman" w:hAnsiTheme="majorHAnsi" w:cs="Times New Roman"/>
          <w:b/>
          <w:bCs/>
        </w:rPr>
      </w:pPr>
      <w:r w:rsidRPr="0027311D">
        <w:rPr>
          <w:rFonts w:asciiTheme="majorHAnsi" w:hAnsiTheme="majorHAnsi" w:cs="Times New Roman"/>
        </w:rPr>
        <w:t>The quick and fast development of Artificial Intelligence (AI) in learning institutions is a change that will revolutionize the manner learning is presented and received by the learners. The possibility of making learning environments personal to each learner, and to match the needs, preferences, and learning velocity, is a promising future of AI that can improve the results of learning. With AI-powered applications, lesson plans can be modified, student resources suggested, student progress monitored in real-time, and learning more dynamic and responsive. The potential of such systems is immense because it has the potential of filling the traditional gaps in the educational system by catering to the needs and various learning styles, which can provide a more inclusive and accessible learning environment to all students.</w:t>
      </w:r>
    </w:p>
    <w:p w14:paraId="1353D818"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 xml:space="preserve">Nonetheless, the potential of AI is enormous, but its use in the educational context has also brought new issues especially in terms of equity. The digital divide is an old phenomenon that is used to refer to the dissimilarity between those who can access digital technologies and those who cannot. This gap has been traditionally associated with socio-economic, geographical, and educational differences with the marginalized groups having </w:t>
      </w:r>
      <w:r w:rsidRPr="0027311D">
        <w:rPr>
          <w:rFonts w:asciiTheme="majorHAnsi" w:hAnsiTheme="majorHAnsi"/>
          <w:sz w:val="22"/>
          <w:szCs w:val="22"/>
        </w:rPr>
        <w:lastRenderedPageBreak/>
        <w:t>been disadvantaged. This gap has been further widened with the emergence of AI-enhanced personalized learning and has led to a so-called digital divide 2.0. Although AI technologies can be used to benefit the learning process of many students, they may lead to the increase in the inequality between the students since many students with lower socio-economic backgrounds and rural students may not have access to the requisite infrastructure, including high-speed internet and advanced computing devices.</w:t>
      </w:r>
    </w:p>
    <w:p w14:paraId="1295D61B"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main issue that this study will avoid is the increasing inequality in the access to AI-enhanced individualized learning conditions that may continue to generate or even widen existing educational inequalities. Although AI can provide personalized learning opportunities, its usefulness is considerably contingent on whether and whether technology infrastructure, access to the internet, and digital literacy are accessible, both of which are not equally distributed among different demographic groups. Students in urban settings with higher income earn a greater likelihood of using AI-based learning tools and students in rural settings or lower-income households might have a great barrier to adoption.</w:t>
      </w:r>
    </w:p>
    <w:p w14:paraId="194384EE"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Such disparity in access is a key issue since it threatens to leave students who are already disadvantaged, further worsening the digital divide. Also, the consequences of such inequality are extensive, and the possibility of influencing the future academic and career outcomes of underprivileged community students. The inability of such students to gain access to AI-enhanced learning environments equitably may result in their inability to develop all the required skills to succeed in an ever more digitalized world, making the disparity in educational achievement an even bigger issue.</w:t>
      </w:r>
    </w:p>
    <w:p w14:paraId="4E4F5E00" w14:textId="77777777" w:rsidR="0027311D" w:rsidRPr="0027311D" w:rsidRDefault="0027311D" w:rsidP="0027311D">
      <w:pPr>
        <w:pStyle w:val="NormalWeb"/>
        <w:jc w:val="both"/>
        <w:rPr>
          <w:rFonts w:asciiTheme="majorHAnsi" w:hAnsiTheme="majorHAnsi"/>
          <w:b/>
          <w:bCs/>
          <w:sz w:val="22"/>
          <w:szCs w:val="22"/>
        </w:rPr>
      </w:pPr>
      <w:r w:rsidRPr="0027311D">
        <w:rPr>
          <w:rFonts w:asciiTheme="majorHAnsi" w:hAnsiTheme="majorHAnsi"/>
          <w:b/>
          <w:bCs/>
          <w:sz w:val="22"/>
          <w:szCs w:val="22"/>
        </w:rPr>
        <w:t>Objectives of the Study</w:t>
      </w:r>
    </w:p>
    <w:p w14:paraId="55D60109"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main aim of the proposed research is to explore the so-called digital divide 2.0 in the framework of AI-based personalized learning and evaluate its effects on the equality of education. In particular, this research will attempt to:</w:t>
      </w:r>
    </w:p>
    <w:p w14:paraId="0DF2AAB6"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1.</w:t>
      </w:r>
      <w:r w:rsidRPr="0027311D">
        <w:rPr>
          <w:rFonts w:asciiTheme="majorHAnsi" w:hAnsiTheme="majorHAnsi"/>
          <w:sz w:val="22"/>
          <w:szCs w:val="22"/>
        </w:rPr>
        <w:tab/>
        <w:t>Determine the equity issues in the adoption of AI learning technologies: This includes investigating the extent to which various schools and regions (particularly those serving disadvantaged populations) are incorporating AI technologies as well as what obstacles are posing the greatest hindrances to the equitable adoption.</w:t>
      </w:r>
    </w:p>
    <w:p w14:paraId="318BC5EF"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2.</w:t>
      </w:r>
      <w:r w:rsidRPr="0027311D">
        <w:rPr>
          <w:rFonts w:asciiTheme="majorHAnsi" w:hAnsiTheme="majorHAnsi"/>
          <w:sz w:val="22"/>
          <w:szCs w:val="22"/>
        </w:rPr>
        <w:tab/>
        <w:t>Determine the effect of these equity gaps on the student performance in varying socio-economic backgrounds: This research aims at finding out how student access to AI-driven learning environments affects their performance. The performance measures to be studied will be grades, level of engagement, and level of learning in various socio-economic backgrounds.</w:t>
      </w:r>
    </w:p>
    <w:p w14:paraId="5A35360B"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3.</w:t>
      </w:r>
      <w:r w:rsidRPr="0027311D">
        <w:rPr>
          <w:rFonts w:asciiTheme="majorHAnsi" w:hAnsiTheme="majorHAnsi"/>
          <w:sz w:val="22"/>
          <w:szCs w:val="22"/>
        </w:rPr>
        <w:tab/>
        <w:t>Offer actionable recommendations to address these inequalities: Relying on the results, the paper will offer actionable solutions and policy recommendations to address the digital divide and provide equal access to AI-based learning tools to all students.</w:t>
      </w:r>
    </w:p>
    <w:p w14:paraId="46672421" w14:textId="77777777" w:rsidR="0027311D" w:rsidRPr="0027311D" w:rsidRDefault="0027311D" w:rsidP="0027311D">
      <w:pPr>
        <w:pStyle w:val="NormalWeb"/>
        <w:jc w:val="both"/>
        <w:rPr>
          <w:rFonts w:asciiTheme="majorHAnsi" w:hAnsiTheme="majorHAnsi"/>
          <w:b/>
          <w:sz w:val="22"/>
          <w:szCs w:val="22"/>
        </w:rPr>
      </w:pPr>
      <w:r w:rsidRPr="0027311D">
        <w:rPr>
          <w:rFonts w:asciiTheme="majorHAnsi" w:hAnsiTheme="majorHAnsi"/>
          <w:b/>
          <w:sz w:val="22"/>
          <w:szCs w:val="22"/>
        </w:rPr>
        <w:t>Significance of the Study</w:t>
      </w:r>
    </w:p>
    <w:p w14:paraId="7DE1E18C"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study is significant since it sheds some light in a new phenomenon in the interaction between technology and education. Since the quick adoption of AI technologies is one of the most important peculiarities of the education systems today, it is necessary to ensure that AI technologies must be accessible to every student, regardless of their socio-economic background and geographical backgrounds. The current research can be contributed to the ongoing discussion about how the potential of AI can be used in a way that would make education less exclusive and unfair.</w:t>
      </w:r>
    </w:p>
    <w:p w14:paraId="5D96B6B6"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lastRenderedPageBreak/>
        <w:t>The findings of the provided paper are particularly applicable to policymakers, teachers, and technologists who can be applied in the creation and application of AI technologies in teaching institutions. By assuming that not all learners will have access to AI-based learning devices, it is risky that the gap in the learning process between the advantaged and disadvantaged students might be even further expanded, and the social inequality will be further supported. By conducting the literature review of the digital divide 2.0 and creating the possible solutions, the current study will provide valuable information on the use of AI technologies to make the educational environment more equitable.</w:t>
      </w:r>
    </w:p>
    <w:p w14:paraId="79EC51E2"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research will also contribute to the current body of knowledge on the ethical issues of AI in education sector. As AI has already become a part of the modern classroom, there is an immediate necessity to ensure that this technology is also effective and inclusive. The study results can be incorporated in formulating the most appropriate practices and policies that focus on equity and equal access and hence ensure that AI is perceived as a tool that reduces, and not increases, educational disparities.</w:t>
      </w:r>
    </w:p>
    <w:p w14:paraId="7A0E4F46"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study will be informative in providing a roadmap on how teachers and policy-makers can ensure that the potential of AI is exploited to maximum by ensuring AI is used in a manner that benefits all students regardless of their economic background and or their geographical locations.</w:t>
      </w:r>
    </w:p>
    <w:p w14:paraId="12041A28" w14:textId="77777777" w:rsidR="0027311D" w:rsidRPr="0027311D" w:rsidRDefault="0027311D" w:rsidP="0027311D">
      <w:pPr>
        <w:pStyle w:val="NormalWeb"/>
        <w:jc w:val="both"/>
        <w:rPr>
          <w:rFonts w:asciiTheme="majorHAnsi" w:hAnsiTheme="majorHAnsi"/>
          <w:b/>
          <w:sz w:val="22"/>
          <w:szCs w:val="22"/>
        </w:rPr>
      </w:pPr>
      <w:r w:rsidRPr="0027311D">
        <w:rPr>
          <w:rFonts w:asciiTheme="majorHAnsi" w:hAnsiTheme="majorHAnsi"/>
          <w:b/>
          <w:sz w:val="22"/>
          <w:szCs w:val="22"/>
        </w:rPr>
        <w:t>LITERATURE REVIEW</w:t>
      </w:r>
    </w:p>
    <w:p w14:paraId="426C2F65"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Digital divide is a concept that has been given much focus in academic literature and the preliminary research focused primarily on the accessibility of technology, the accessibility of the internet, and the digital literacy. This has over the years been seen to be a major setback in how individuals should have an equal right of accessing education particularly the low-income and rural societies. The first study, such as the one conducted by Warschauer (2004) has revealed that disparities in technology access directly influenced academic achievement of students thereby leaving students in under-serviced communities in a very disadvantaged position. The article written by Warschauer pointed out that although the digital tools have become increasingly important in the system of education, inequality in education was still maintained through the disparity of the tools allocation. However, despite the concern regarding the access to technology, as far as Artificial Intelligence (AI) and machine learning have emerged, the debate has shifted to whether these new forms of technologies would widen or mitigate these gaps.</w:t>
      </w:r>
    </w:p>
    <w:p w14:paraId="4B631EBE"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AI can change the situation with education giving the opportunities of a personal studying that can address needs of single students. The opportunities of AI have been mentioned in the recent years in the context of delivering personalized learning resources, adaptive learning, and continuous feedback as having a potential beneficial impact on enhancing engagement and learning performance among students (Holmes et al., 2019). As the AI technologies offer intelligent tutoring systems, student strengths and weaknesses can be identified, and a set of personalized interventions can be introduced so that the student could obtain a more personalized teaching. This learning personalization ability has been acclaimed as the potential mechanism of closing the achievement gap and supporting several styles of learning (Holmes et al., 2019).</w:t>
      </w:r>
    </w:p>
    <w:p w14:paraId="349F2BD3"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As these technologies have been on the limelight, there has been fears of their supply. In non-diversified learning context, particularly in under-funded learning contexts, educational inequality is further aggravated because the diversity of students is not taken into account in the creation of AI systems. According to Jagtap and Gaikwad (2021), AI in education can serve to enhance existing inequalities unless such systems are implemented in a manner that guarantees equal opportunities to all students. As an example, children in well-to-do city schools can afford to utilize AI-enabled software to the full extent, whereas children in less well-endowed rural or low-income communities can not even access the internet with ease, and may lack access to devices to utilize AI-based educational solutions. As the AI is still being incorporated into the educational system, it is imperative to make sure that the technologies may be used by every student without having to refer to their socio-economic background.</w:t>
      </w:r>
    </w:p>
    <w:p w14:paraId="59611E75"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lastRenderedPageBreak/>
        <w:t>The theoretical framework of Equity Theory (Adams, 1965) which is based on the understanding that the perception of a person that there is fairness in the process of resources allocation can influence the attitudes and behaviors of individuals is the theoretical foundation of the study. At the educational level, the theory implies that learners who feel that the learning resources are unequally divided, i.e., access to technology, AI tools, or qualified teachers, will tend to lose their motivation and interest. With regard to AI-enhanced learning, the issues of equity are evident when low socio-economic students lack equal access to the technological resources as their peers. The threat with the adoption of AI-driven learning environments is that students in less privileged communities will not have access to the full benefits of these tools, which will further increase educational disparities.</w:t>
      </w:r>
    </w:p>
    <w:p w14:paraId="7DDA626A"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Equity Theory can be applied to AI in education especially because one can analyze the level at which the differences in access to AI technologies may affect both the academic experiences and outcomes of students. The students without access to AI-driven tools might experience lack of enfranchisement or inferior ability that may result in poor performance in school and a decreased chance of educational development. Such inequalities are not only revealed by access to technology but also by other issues including teacher training, infrastructure, and digital literacy among other issues that are essential to the proper use of AI in learning facilities.</w:t>
      </w:r>
    </w:p>
    <w:p w14:paraId="3DFE7CA3"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Although the potential of AI in education is immense, it has not been applied in developing nations like Pakistan with a lot of ease. The Higher Education Commission (HEC) of Pakistan (2020) claims that the absence of technological infrastructure, primarily in rural and underserved areas, is one of the major barriers to effective implementation of AI into the systems. Most Pakistani universities, especially the ones in the rural regions, are faced with poor access to high-speed internet, the use of modern computing equipment, and even low levels of digital literacy. These infrastructural gaps are a major limitation towards the implementation of AI-based learning systems, leading to a system where only a small percentage of the students, mostly those in the resource-intensive urban schools, would enjoy the benefits of such innovations.</w:t>
      </w:r>
    </w:p>
    <w:p w14:paraId="67004411"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More so, the HEC (2020) notes that although urban universities in Pakistan have started to experiment with AI tools and platforms, their equivalents in rural regions do not have the resources required to launch such initiatives. Such a gap in the use of AI in various parts of Pakistan only contributes to the already existing educational gap, as students in poorly-developed and rural Pakistan are deprived of the opportunities provided by the personalized learning that AI technologies deliver to learners.</w:t>
      </w:r>
    </w:p>
    <w:p w14:paraId="10402BA0"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Although much research has been dedicated to the issue of the presence of AI in learning, not many studies have specifically analyzed the socio-economic effects of AI-enabled personalized learning. The majority of studies have focused on the technological possibilities of AI and its ability to improve the performance of education (e.g., Holmes et al., 2019; Jagtap and Gaikwad, 2021). Nevertheless, a certain gap in the literature can be identified that examines the effects of AI technologies on equity in educational activities, especially in the areas where the needed facilities are scarce. The proposed study intends to address this gap and will concentrate on the digital divide in AI-driven learning settings and its implications to equity in learning. This study will be valuable in understanding how AI can be more fairly applied in education systems worldwide because it will involve studying the socio-economic obstacles to the adoption of AI and how they influence the educational performance of different regions.</w:t>
      </w:r>
    </w:p>
    <w:p w14:paraId="08D65EBD"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In addition, the vast majority of currently existing studies have been dedicated to AI in the developed world, where the infrastructure of technologies is typically high. The issues of students in developing nations like Pakistan have not been addressed to the same extent. This study will aim to fill these gaps by concentrating on the areas where access to AI-driven education is not ensured, so the study will provide a more holistic picture of how AI can both eliminate and create educational gaps.</w:t>
      </w:r>
    </w:p>
    <w:p w14:paraId="22FD2253" w14:textId="77777777" w:rsidR="0027311D" w:rsidRPr="0027311D" w:rsidRDefault="0027311D" w:rsidP="0027311D">
      <w:pPr>
        <w:pStyle w:val="NormalWeb"/>
        <w:jc w:val="both"/>
        <w:rPr>
          <w:rFonts w:asciiTheme="majorHAnsi" w:hAnsiTheme="majorHAnsi"/>
          <w:b/>
          <w:bCs/>
          <w:sz w:val="22"/>
          <w:szCs w:val="22"/>
        </w:rPr>
      </w:pPr>
      <w:r w:rsidRPr="0027311D">
        <w:rPr>
          <w:rFonts w:asciiTheme="majorHAnsi" w:hAnsiTheme="majorHAnsi"/>
          <w:b/>
          <w:bCs/>
          <w:sz w:val="22"/>
          <w:szCs w:val="22"/>
        </w:rPr>
        <w:t>METHODOLOGY</w:t>
      </w:r>
    </w:p>
    <w:p w14:paraId="641A7D54" w14:textId="77777777" w:rsidR="0027311D" w:rsidRPr="0027311D" w:rsidRDefault="0027311D" w:rsidP="0027311D">
      <w:pPr>
        <w:pStyle w:val="NormalWeb"/>
        <w:jc w:val="both"/>
        <w:rPr>
          <w:rFonts w:asciiTheme="majorHAnsi" w:hAnsiTheme="majorHAnsi"/>
          <w:b/>
          <w:bCs/>
          <w:sz w:val="22"/>
          <w:szCs w:val="22"/>
        </w:rPr>
      </w:pPr>
      <w:r w:rsidRPr="0027311D">
        <w:rPr>
          <w:rFonts w:asciiTheme="majorHAnsi" w:hAnsiTheme="majorHAnsi"/>
          <w:sz w:val="22"/>
          <w:szCs w:val="22"/>
        </w:rPr>
        <w:t xml:space="preserve">The study will use a mixed-method research design to determine the effect of AI-driven personalized learning environments on educational equity. The mixed-methods design is beneficial since it will enable a comprehensive study of not only the quantitative results (student performance data), but also the qualitative ones (the experience </w:t>
      </w:r>
      <w:r w:rsidRPr="0027311D">
        <w:rPr>
          <w:rFonts w:asciiTheme="majorHAnsi" w:hAnsiTheme="majorHAnsi"/>
          <w:sz w:val="22"/>
          <w:szCs w:val="22"/>
        </w:rPr>
        <w:lastRenderedPageBreak/>
        <w:t>of educators and students) to obtain a well-rounded picture of the impact of AI in education in equity in various socio-economic groups. The study is conducted in the form of convergent parallel research, in which both kinds of data are obtained at the same time, but are analyzed independently of each other. This will assist in the triangulation of the results of the two sets of data in order to have a more comprehensive picture of the problem under consideration (Creswell and Plano Clark, 2018</w:t>
      </w:r>
      <w:r w:rsidRPr="0027311D">
        <w:rPr>
          <w:rFonts w:asciiTheme="majorHAnsi" w:hAnsiTheme="majorHAnsi"/>
          <w:b/>
          <w:bCs/>
          <w:sz w:val="22"/>
          <w:szCs w:val="22"/>
        </w:rPr>
        <w:t>).</w:t>
      </w:r>
    </w:p>
    <w:p w14:paraId="6746DBAD"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convergent parallel design was chosen in particular to enable the quantitative and qualitative data to be collected simultaneously. Creswell and Creswell (2017) argue that this type of design can be especially useful in the research, when the researcher wants to compare and contrast the various forms of data through this approach, which enables the researcher to gain a deeper and more complex insight into the research problem. In this paper, the quantitative data will give a clue to the student performance indicators, and the qualitative one will enlighten on the experiences and perceptions of the students and educators when using the AI-based learning platforms.</w:t>
      </w:r>
    </w:p>
    <w:p w14:paraId="246665B9"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three largest educational districts of the developing country, two in urban and one in rural areas, were chosen to carry out the study that would allow making the comparison between the different socio-economic situations. The urban districts are places with greater access to technological infrastructure whereas the rural district are places with lesser access, thus, providing a capture of the digital divide, which is the main focus of the research question.</w:t>
      </w:r>
    </w:p>
    <w:p w14:paraId="075936F0"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sample consisted of 500 students, stratified according to the socio-economic background (low, middle, and high income), so that all the demographic groups are represented satisfactorily.</w:t>
      </w:r>
    </w:p>
    <w:p w14:paraId="049D48AB"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w:t>
      </w:r>
      <w:r w:rsidRPr="0027311D">
        <w:rPr>
          <w:rFonts w:asciiTheme="majorHAnsi" w:hAnsiTheme="majorHAnsi"/>
          <w:sz w:val="22"/>
          <w:szCs w:val="22"/>
        </w:rPr>
        <w:tab/>
        <w:t>There were 15 school administrators, who offered their perspectives on the logistic and administrative issues related to the implementation of AI in schools.</w:t>
      </w:r>
    </w:p>
    <w:p w14:paraId="20F9736F"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Through the participation of individuals in different educational environments, this research aims at gaining insight on how social-economic status affects the capability of students to interact with AI-based learning environments.</w:t>
      </w:r>
    </w:p>
    <w:p w14:paraId="1CCE1C5A"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Quantitative Data: Data Collected by the IT Software The main quantitative data in this paper were collected by AI-powered learning platforms offered at the schools included in the sample. These platforms monitor some of the performance indicators including completion rates, test scores, and engagement levels. Such data have been taken out of school records and digital learning platforms and give objective indicators of student performance concerning their use of the AI systems. The incorporation of the performance metrics is consistent with the prior studies on AI in education (Holmes et al., 2019), which include the importance of measurable learning outcomes to assess educational interventions.</w:t>
      </w:r>
    </w:p>
    <w:p w14:paraId="2A2276EC"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Qualitative Data: Semi-structured interviews were used to obtain the subjective experiences of teachers and learners who have used AI- based learning tools. The interviews were created to examine how the participants perceived AI technologies and how their learning experience in personalized environments was, as well as what their issues were when gaining access to or using the technologies. The socio-economic issues that could affect the usage and perception of AI by various groups were also explored deeper in the interviews. The method of collecting qualitative data is in line with the best practices in educational research, as outlined by Seidman (2013), who points to the fact that it is essential to ensure a subtle insight into the views of participants with the help of open-ended questions.</w:t>
      </w:r>
    </w:p>
    <w:p w14:paraId="0739077E"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 xml:space="preserve">Statistical methods were used to analyse the quantitative data by use of SPSS (Statistical Package for the Social Sciences). The emphasis was put on determining major links between the socio-economic status and diverse metrics of performance, including the test scores and the rates of engagement. They were reported in form of descriptive statistics i.e. means, median and standard deviations and the inferential statistics (i.e. t-tests and ANOVA) used to demonstrate whether there was any significant difference between the groups with respect to </w:t>
      </w:r>
      <w:r w:rsidRPr="0027311D">
        <w:rPr>
          <w:rFonts w:asciiTheme="majorHAnsi" w:hAnsiTheme="majorHAnsi"/>
          <w:sz w:val="22"/>
          <w:szCs w:val="22"/>
        </w:rPr>
        <w:lastRenderedPageBreak/>
        <w:t>their socio-economic status. The approaches coincide with the approaches to the past studies of educational inequality and digital learning (Baker and Smith, 2020).</w:t>
      </w:r>
    </w:p>
    <w:p w14:paraId="31E11263"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 thematic style of analysis was used in the case of the qualitative data to identify general themes and patterns within the transcripts of the interviews. Thematic analysis allows uncovering the experience of the participants in detail and determining the issues that are of importance when it comes to accessibility of AI, its usability and the perceived impacts on learning (Braun and Clarke, 2006). Thematic analysis was chosen because of flexibility and its ability to give a thorough and vivid information on what the participants believed about the world of AI-driven learning.</w:t>
      </w:r>
    </w:p>
    <w:p w14:paraId="228B40D9"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standard performance measures commonly used when studying machine learning were the performance measures that were applied in the evaluation of the AI models that were used in the education setting. These metrics included:</w:t>
      </w:r>
    </w:p>
    <w:p w14:paraId="5343995A"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w:t>
      </w:r>
      <w:r w:rsidRPr="0027311D">
        <w:rPr>
          <w:rFonts w:asciiTheme="majorHAnsi" w:hAnsiTheme="majorHAnsi"/>
          <w:sz w:val="22"/>
          <w:szCs w:val="22"/>
        </w:rPr>
        <w:tab/>
        <w:t>Accuracy: Ration of the accurate predictions or the accurate classification of the AI models.</w:t>
      </w:r>
    </w:p>
    <w:p w14:paraId="635EE756"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w:t>
      </w:r>
      <w:r w:rsidRPr="0027311D">
        <w:rPr>
          <w:rFonts w:asciiTheme="majorHAnsi" w:hAnsiTheme="majorHAnsi"/>
          <w:sz w:val="22"/>
          <w:szCs w:val="22"/>
        </w:rPr>
        <w:tab/>
        <w:t>Precision: Percentage of correct positive predictions that may be utilized to establish the degree of the accuracy of AI tools in identifying the correct students.</w:t>
      </w:r>
    </w:p>
    <w:p w14:paraId="4ADDBFAF"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w:t>
      </w:r>
      <w:r w:rsidRPr="0027311D">
        <w:rPr>
          <w:rFonts w:asciiTheme="majorHAnsi" w:hAnsiTheme="majorHAnsi"/>
          <w:sz w:val="22"/>
          <w:szCs w:val="22"/>
        </w:rPr>
        <w:tab/>
        <w:t>Recall: The portion of correct positive cases identified by the AI model, and reflects the capability of the model to identify all the relevant students.</w:t>
      </w:r>
    </w:p>
    <w:p w14:paraId="380F7690"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F1-Score: The harmonic mean between precision and recall which is a balance measure of the model performance.</w:t>
      </w:r>
    </w:p>
    <w:p w14:paraId="444451EC"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These steps are typical of learning technology studies (Spector, 2014) so that the successful operation of AI systems can be measured and ensured to be successfully meeting student needs.</w:t>
      </w:r>
    </w:p>
    <w:p w14:paraId="0C079BE3"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ethical clearance of the study was given by the institutional review board (IRB) of the institutions that were used in the study. Being aware of the purpose of the study, all respondents signed a written consent to the study, students, as well as teachers consenting to it. The anonymity of all data ensured confidentiality and made the data safe. Ethical standards that the study followed are American Educational Research Association (AERA, 2018).</w:t>
      </w:r>
    </w:p>
    <w:p w14:paraId="1AF3FC14" w14:textId="77777777" w:rsidR="0027311D" w:rsidRPr="0027311D" w:rsidRDefault="0027311D" w:rsidP="0027311D">
      <w:pPr>
        <w:pStyle w:val="NormalWeb"/>
        <w:jc w:val="both"/>
        <w:rPr>
          <w:rFonts w:asciiTheme="majorHAnsi" w:hAnsiTheme="majorHAnsi"/>
          <w:b/>
          <w:bCs/>
          <w:sz w:val="22"/>
          <w:szCs w:val="22"/>
        </w:rPr>
      </w:pPr>
      <w:r w:rsidRPr="0027311D">
        <w:rPr>
          <w:rFonts w:asciiTheme="majorHAnsi" w:hAnsiTheme="majorHAnsi"/>
          <w:b/>
          <w:bCs/>
          <w:sz w:val="22"/>
          <w:szCs w:val="22"/>
        </w:rPr>
        <w:t>RESULTS AND EVALUATION</w:t>
      </w:r>
    </w:p>
    <w:p w14:paraId="1D1A4FFA"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adoption of AI-based learning solutions in educational institutions shows a potential opportunity to customize the learning process of students towards their personal needs and pace of learning. Nevertheless, these systems have been analyzed and have shown a high level of divergence in the performance outcomes between the various socio-economic groups. Students with higher-income and urban orientation were always better engaged and performing on AI-driven learning platforms than their low-income and rural counterparts. This part examines the differences in performance trends, AI model effectiveness and technological access and highlights the effects on personal guidance, educational/academic guidance as well as placement guidance.</w:t>
      </w:r>
    </w:p>
    <w:p w14:paraId="157AF2F4"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Using the data analysis, it is clear that there are performance differences between urban, high-income and rural, low-income students in the context of using AI-enhanced learning tools. The differences are mostly caused by the distinctions in the access to technologies, digital literacy, and infrastructure that influence the availability of the AI tools to the students. Table 1 presents the completion rates, test score increase and the time spent by these two groups.</w:t>
      </w:r>
    </w:p>
    <w:p w14:paraId="28C738E8" w14:textId="77777777" w:rsidR="0027311D" w:rsidRPr="0027311D" w:rsidRDefault="0027311D" w:rsidP="0027311D">
      <w:pPr>
        <w:pStyle w:val="NormalWeb"/>
        <w:jc w:val="both"/>
        <w:rPr>
          <w:rStyle w:val="Strong"/>
          <w:rFonts w:asciiTheme="majorHAnsi" w:eastAsia="Cambria" w:hAnsiTheme="majorHAnsi"/>
          <w:sz w:val="22"/>
          <w:szCs w:val="22"/>
        </w:rPr>
      </w:pPr>
    </w:p>
    <w:p w14:paraId="7DDEF3F2" w14:textId="77777777" w:rsidR="0027311D" w:rsidRDefault="0027311D" w:rsidP="0027311D">
      <w:pPr>
        <w:pStyle w:val="NormalWeb"/>
        <w:jc w:val="both"/>
        <w:rPr>
          <w:rStyle w:val="Strong"/>
          <w:rFonts w:asciiTheme="majorHAnsi" w:eastAsia="Cambria" w:hAnsiTheme="majorHAnsi"/>
          <w:sz w:val="22"/>
          <w:szCs w:val="22"/>
        </w:rPr>
      </w:pPr>
    </w:p>
    <w:p w14:paraId="6D4178AE" w14:textId="77777777" w:rsidR="0027311D" w:rsidRPr="0027311D" w:rsidRDefault="0027311D" w:rsidP="0027311D">
      <w:pPr>
        <w:pStyle w:val="NormalWeb"/>
        <w:jc w:val="both"/>
        <w:rPr>
          <w:rFonts w:asciiTheme="majorHAnsi" w:hAnsiTheme="majorHAnsi"/>
          <w:sz w:val="22"/>
          <w:szCs w:val="22"/>
        </w:rPr>
      </w:pPr>
      <w:r w:rsidRPr="0027311D">
        <w:rPr>
          <w:rStyle w:val="Strong"/>
          <w:rFonts w:asciiTheme="majorHAnsi" w:eastAsia="Cambria" w:hAnsiTheme="majorHAnsi"/>
          <w:sz w:val="22"/>
          <w:szCs w:val="22"/>
        </w:rPr>
        <w:lastRenderedPageBreak/>
        <w:t>Table 1: Performance Trends in AI-Enhanced Learning Systems</w:t>
      </w:r>
    </w:p>
    <w:tbl>
      <w:tblPr>
        <w:tblStyle w:val="LightShading"/>
        <w:tblW w:w="9237" w:type="dxa"/>
        <w:tblLook w:val="04A0" w:firstRow="1" w:lastRow="0" w:firstColumn="1" w:lastColumn="0" w:noHBand="0" w:noVBand="1"/>
      </w:tblPr>
      <w:tblGrid>
        <w:gridCol w:w="1823"/>
        <w:gridCol w:w="1898"/>
        <w:gridCol w:w="2469"/>
        <w:gridCol w:w="3047"/>
      </w:tblGrid>
      <w:tr w:rsidR="0027311D" w:rsidRPr="0027311D" w14:paraId="4940A45E" w14:textId="77777777" w:rsidTr="00D21118">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0" w:type="auto"/>
            <w:hideMark/>
          </w:tcPr>
          <w:p w14:paraId="03BFAF77"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b w:val="0"/>
                <w:bCs w:val="0"/>
              </w:rPr>
              <w:t>Group</w:t>
            </w:r>
          </w:p>
        </w:tc>
        <w:tc>
          <w:tcPr>
            <w:tcW w:w="0" w:type="auto"/>
            <w:hideMark/>
          </w:tcPr>
          <w:p w14:paraId="6BBB0C45"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Completion Rate (%)</w:t>
            </w:r>
          </w:p>
        </w:tc>
        <w:tc>
          <w:tcPr>
            <w:tcW w:w="0" w:type="auto"/>
            <w:hideMark/>
          </w:tcPr>
          <w:p w14:paraId="01D29B12"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Test Score Improvement (%)</w:t>
            </w:r>
          </w:p>
        </w:tc>
        <w:tc>
          <w:tcPr>
            <w:tcW w:w="0" w:type="auto"/>
            <w:hideMark/>
          </w:tcPr>
          <w:p w14:paraId="0793B984"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Average Engagement Time (hrs/week)</w:t>
            </w:r>
          </w:p>
        </w:tc>
      </w:tr>
      <w:tr w:rsidR="0027311D" w:rsidRPr="0027311D" w14:paraId="21158C44" w14:textId="77777777" w:rsidTr="00D21118">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0" w:type="auto"/>
            <w:hideMark/>
          </w:tcPr>
          <w:p w14:paraId="4FEE8972"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Urban, High-Income</w:t>
            </w:r>
          </w:p>
        </w:tc>
        <w:tc>
          <w:tcPr>
            <w:tcW w:w="0" w:type="auto"/>
            <w:hideMark/>
          </w:tcPr>
          <w:p w14:paraId="0D1BCD22"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85%</w:t>
            </w:r>
          </w:p>
        </w:tc>
        <w:tc>
          <w:tcPr>
            <w:tcW w:w="0" w:type="auto"/>
            <w:hideMark/>
          </w:tcPr>
          <w:p w14:paraId="7E994858"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30%</w:t>
            </w:r>
          </w:p>
        </w:tc>
        <w:tc>
          <w:tcPr>
            <w:tcW w:w="0" w:type="auto"/>
            <w:hideMark/>
          </w:tcPr>
          <w:p w14:paraId="5979649C"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5</w:t>
            </w:r>
          </w:p>
        </w:tc>
      </w:tr>
      <w:tr w:rsidR="0027311D" w:rsidRPr="0027311D" w14:paraId="77074116" w14:textId="77777777" w:rsidTr="00D21118">
        <w:trPr>
          <w:trHeight w:val="628"/>
        </w:trPr>
        <w:tc>
          <w:tcPr>
            <w:cnfStyle w:val="001000000000" w:firstRow="0" w:lastRow="0" w:firstColumn="1" w:lastColumn="0" w:oddVBand="0" w:evenVBand="0" w:oddHBand="0" w:evenHBand="0" w:firstRowFirstColumn="0" w:firstRowLastColumn="0" w:lastRowFirstColumn="0" w:lastRowLastColumn="0"/>
            <w:tcW w:w="0" w:type="auto"/>
            <w:hideMark/>
          </w:tcPr>
          <w:p w14:paraId="52B2CD24"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Rural, Low-Income</w:t>
            </w:r>
          </w:p>
        </w:tc>
        <w:tc>
          <w:tcPr>
            <w:tcW w:w="0" w:type="auto"/>
            <w:hideMark/>
          </w:tcPr>
          <w:p w14:paraId="3074C003"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55%</w:t>
            </w:r>
          </w:p>
        </w:tc>
        <w:tc>
          <w:tcPr>
            <w:tcW w:w="0" w:type="auto"/>
            <w:hideMark/>
          </w:tcPr>
          <w:p w14:paraId="09F6F614"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10%</w:t>
            </w:r>
          </w:p>
        </w:tc>
        <w:tc>
          <w:tcPr>
            <w:tcW w:w="0" w:type="auto"/>
            <w:hideMark/>
          </w:tcPr>
          <w:p w14:paraId="624B1F93"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2</w:t>
            </w:r>
          </w:p>
        </w:tc>
      </w:tr>
    </w:tbl>
    <w:p w14:paraId="6C58DE67"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Table 1 has established that urban, high-income students were much more engaged with AI-based learning platforms. These students completed rates were 85 and had a 30% test score increase and spent an average 5 hours a week with the AI tools. Conversely, low-income students, in rural areas, with a low-income level had completion rates of 55 and improvement in test scores was only 10 percent and students average engagement was very low at 2 hours per week.</w:t>
      </w:r>
    </w:p>
    <w:p w14:paraId="28590789"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decreased involvement and performance of the rural students can be explained by the technology constraints, such as low-quality internet access, inability to access new devices, and digital illiteracy. These are the reason why they cannot take full advantage of the AI systems because they cannot fully experience them as their urban counterparts. This gap demonstrates an expanding digital divide in which students in less wealthy regions are also becoming less and less a part of the benefits that AI offers. There were also socio-economic differences in the performance of the AI models which are used in personalizing learning. Table 2 provides the comparison of model accuracy in urban and rural schools and shows how the differences in the access to technologies influence the work of AI systems.</w:t>
      </w:r>
    </w:p>
    <w:p w14:paraId="7A82DED2" w14:textId="77777777" w:rsidR="0027311D" w:rsidRPr="0027311D" w:rsidRDefault="0027311D" w:rsidP="0027311D">
      <w:pPr>
        <w:pStyle w:val="NormalWeb"/>
        <w:jc w:val="both"/>
        <w:rPr>
          <w:rFonts w:asciiTheme="majorHAnsi" w:hAnsiTheme="majorHAnsi"/>
          <w:sz w:val="22"/>
          <w:szCs w:val="22"/>
        </w:rPr>
      </w:pPr>
      <w:r w:rsidRPr="0027311D">
        <w:rPr>
          <w:rStyle w:val="Strong"/>
          <w:rFonts w:asciiTheme="majorHAnsi" w:eastAsia="Cambria" w:hAnsiTheme="majorHAnsi"/>
          <w:sz w:val="22"/>
          <w:szCs w:val="22"/>
        </w:rPr>
        <w:t>Table 2: AI Model Accuracy Comparison</w:t>
      </w:r>
    </w:p>
    <w:tbl>
      <w:tblPr>
        <w:tblStyle w:val="LightShading"/>
        <w:tblW w:w="9024" w:type="dxa"/>
        <w:tblLook w:val="04A0" w:firstRow="1" w:lastRow="0" w:firstColumn="1" w:lastColumn="0" w:noHBand="0" w:noVBand="1"/>
      </w:tblPr>
      <w:tblGrid>
        <w:gridCol w:w="2935"/>
        <w:gridCol w:w="3110"/>
        <w:gridCol w:w="2979"/>
      </w:tblGrid>
      <w:tr w:rsidR="0027311D" w:rsidRPr="0027311D" w14:paraId="6CDC45F1" w14:textId="77777777" w:rsidTr="00D21118">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09AB0625"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b w:val="0"/>
                <w:bCs w:val="0"/>
              </w:rPr>
              <w:t>Group</w:t>
            </w:r>
          </w:p>
        </w:tc>
        <w:tc>
          <w:tcPr>
            <w:tcW w:w="0" w:type="auto"/>
            <w:hideMark/>
          </w:tcPr>
          <w:p w14:paraId="011763A1"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AI Model Accuracy (%)</w:t>
            </w:r>
          </w:p>
        </w:tc>
        <w:tc>
          <w:tcPr>
            <w:tcW w:w="0" w:type="auto"/>
            <w:hideMark/>
          </w:tcPr>
          <w:p w14:paraId="7955D513"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AI Learning Efficiency</w:t>
            </w:r>
          </w:p>
        </w:tc>
      </w:tr>
      <w:tr w:rsidR="0027311D" w:rsidRPr="0027311D" w14:paraId="7920815C" w14:textId="77777777" w:rsidTr="00D2111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597426A9"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Urban, High-Income</w:t>
            </w:r>
          </w:p>
        </w:tc>
        <w:tc>
          <w:tcPr>
            <w:tcW w:w="0" w:type="auto"/>
            <w:hideMark/>
          </w:tcPr>
          <w:p w14:paraId="57FC01D3"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92%</w:t>
            </w:r>
          </w:p>
        </w:tc>
        <w:tc>
          <w:tcPr>
            <w:tcW w:w="0" w:type="auto"/>
            <w:hideMark/>
          </w:tcPr>
          <w:p w14:paraId="79DEF316"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High</w:t>
            </w:r>
          </w:p>
        </w:tc>
      </w:tr>
      <w:tr w:rsidR="0027311D" w:rsidRPr="0027311D" w14:paraId="1672F8AA" w14:textId="77777777" w:rsidTr="00D21118">
        <w:trPr>
          <w:trHeight w:val="528"/>
        </w:trPr>
        <w:tc>
          <w:tcPr>
            <w:cnfStyle w:val="001000000000" w:firstRow="0" w:lastRow="0" w:firstColumn="1" w:lastColumn="0" w:oddVBand="0" w:evenVBand="0" w:oddHBand="0" w:evenHBand="0" w:firstRowFirstColumn="0" w:firstRowLastColumn="0" w:lastRowFirstColumn="0" w:lastRowLastColumn="0"/>
            <w:tcW w:w="0" w:type="auto"/>
            <w:hideMark/>
          </w:tcPr>
          <w:p w14:paraId="6F0F95B0"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Rural, Low-Income</w:t>
            </w:r>
          </w:p>
        </w:tc>
        <w:tc>
          <w:tcPr>
            <w:tcW w:w="0" w:type="auto"/>
            <w:hideMark/>
          </w:tcPr>
          <w:p w14:paraId="43EE7719"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68%</w:t>
            </w:r>
          </w:p>
        </w:tc>
        <w:tc>
          <w:tcPr>
            <w:tcW w:w="0" w:type="auto"/>
            <w:hideMark/>
          </w:tcPr>
          <w:p w14:paraId="2E5BE528"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Low</w:t>
            </w:r>
          </w:p>
        </w:tc>
      </w:tr>
    </w:tbl>
    <w:p w14:paraId="53BA5006"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As Table 2 indicates, the urban, high-income students had a significantly higher AI model accuracy (92%), because the urban schools have better technologic infrastructure, i.e., higher internet speed, more sophisticated computing equipment, and digital literacy. This precision of accuracy provided a better ability to make a more specific learning intervention based on individual students and have a better overall learning outcome.</w:t>
      </w:r>
    </w:p>
    <w:p w14:paraId="2D9CCDD9"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Conversely, low-income students who were rural had much less model accuracy (68%). The AI systems in the rural settings could not work to its maximum capacity owing to technological factors, including slower internet, outdated computers, and lack of access to quality training of students and teachers. Such constraints had a negative effect of lowering AI learning efficiency, thereby making it impossible to achieve the same academic improvement of rural students compared to their urban counterparts.</w:t>
      </w:r>
    </w:p>
    <w:p w14:paraId="7391C53C" w14:textId="77777777" w:rsidR="0027311D" w:rsidRPr="0027311D" w:rsidRDefault="0027311D" w:rsidP="0027311D">
      <w:pPr>
        <w:pStyle w:val="NormalWeb"/>
        <w:jc w:val="both"/>
        <w:rPr>
          <w:rFonts w:asciiTheme="majorHAnsi" w:hAnsiTheme="majorHAnsi"/>
          <w:sz w:val="22"/>
          <w:szCs w:val="22"/>
        </w:rPr>
      </w:pPr>
      <w:r w:rsidRPr="0027311D">
        <w:rPr>
          <w:rFonts w:asciiTheme="majorHAnsi" w:hAnsiTheme="majorHAnsi"/>
          <w:sz w:val="22"/>
          <w:szCs w:val="22"/>
        </w:rPr>
        <w:t>The comparison of the level of engagement and access to technologies in urban and rural schools also provides a better insight into what leads to the performance gap. Table 3 brings out the correlation between access to technology and student adoption of AI-enhanced learning environments.</w:t>
      </w:r>
    </w:p>
    <w:p w14:paraId="3A4892F9" w14:textId="77777777" w:rsidR="0027311D" w:rsidRDefault="0027311D" w:rsidP="0027311D">
      <w:pPr>
        <w:pStyle w:val="NormalWeb"/>
        <w:jc w:val="both"/>
        <w:rPr>
          <w:rStyle w:val="Strong"/>
          <w:rFonts w:asciiTheme="majorHAnsi" w:eastAsia="Cambria" w:hAnsiTheme="majorHAnsi"/>
          <w:sz w:val="22"/>
          <w:szCs w:val="22"/>
        </w:rPr>
      </w:pPr>
    </w:p>
    <w:p w14:paraId="0D3B1DD2" w14:textId="77777777" w:rsidR="0027311D" w:rsidRPr="0027311D" w:rsidRDefault="0027311D" w:rsidP="0027311D">
      <w:pPr>
        <w:pStyle w:val="NormalWeb"/>
        <w:jc w:val="both"/>
        <w:rPr>
          <w:rFonts w:asciiTheme="majorHAnsi" w:hAnsiTheme="majorHAnsi"/>
          <w:sz w:val="22"/>
          <w:szCs w:val="22"/>
        </w:rPr>
      </w:pPr>
      <w:r w:rsidRPr="0027311D">
        <w:rPr>
          <w:rStyle w:val="Strong"/>
          <w:rFonts w:asciiTheme="majorHAnsi" w:eastAsia="Cambria" w:hAnsiTheme="majorHAnsi"/>
          <w:sz w:val="22"/>
          <w:szCs w:val="22"/>
        </w:rPr>
        <w:lastRenderedPageBreak/>
        <w:t>Table 3: Engagement Levels Based on Technological Access</w:t>
      </w:r>
    </w:p>
    <w:tbl>
      <w:tblPr>
        <w:tblStyle w:val="LightShading"/>
        <w:tblW w:w="8987" w:type="dxa"/>
        <w:jc w:val="center"/>
        <w:tblLook w:val="04A0" w:firstRow="1" w:lastRow="0" w:firstColumn="1" w:lastColumn="0" w:noHBand="0" w:noVBand="1"/>
      </w:tblPr>
      <w:tblGrid>
        <w:gridCol w:w="2071"/>
        <w:gridCol w:w="1892"/>
        <w:gridCol w:w="2840"/>
        <w:gridCol w:w="2184"/>
      </w:tblGrid>
      <w:tr w:rsidR="0027311D" w:rsidRPr="0027311D" w14:paraId="1764C76F" w14:textId="77777777" w:rsidTr="0027311D">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F3C015"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b w:val="0"/>
                <w:bCs w:val="0"/>
              </w:rPr>
              <w:t>Group</w:t>
            </w:r>
          </w:p>
        </w:tc>
        <w:tc>
          <w:tcPr>
            <w:tcW w:w="0" w:type="auto"/>
            <w:hideMark/>
          </w:tcPr>
          <w:p w14:paraId="351CA159"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Technology Access</w:t>
            </w:r>
          </w:p>
        </w:tc>
        <w:tc>
          <w:tcPr>
            <w:tcW w:w="0" w:type="auto"/>
            <w:hideMark/>
          </w:tcPr>
          <w:p w14:paraId="2666A442"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Engagement Level (hrs/week)</w:t>
            </w:r>
          </w:p>
        </w:tc>
        <w:tc>
          <w:tcPr>
            <w:tcW w:w="0" w:type="auto"/>
            <w:hideMark/>
          </w:tcPr>
          <w:p w14:paraId="4AB8320C" w14:textId="77777777" w:rsidR="0027311D" w:rsidRPr="0027311D" w:rsidRDefault="0027311D" w:rsidP="0027311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b w:val="0"/>
                <w:bCs w:val="0"/>
              </w:rPr>
              <w:t>AI Tool Utilization (%)</w:t>
            </w:r>
          </w:p>
        </w:tc>
      </w:tr>
      <w:tr w:rsidR="0027311D" w:rsidRPr="0027311D" w14:paraId="6D83942A" w14:textId="77777777" w:rsidTr="0027311D">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43B555"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Urban, High-Income</w:t>
            </w:r>
          </w:p>
        </w:tc>
        <w:tc>
          <w:tcPr>
            <w:tcW w:w="0" w:type="auto"/>
            <w:hideMark/>
          </w:tcPr>
          <w:p w14:paraId="109046B6"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High</w:t>
            </w:r>
          </w:p>
        </w:tc>
        <w:tc>
          <w:tcPr>
            <w:tcW w:w="0" w:type="auto"/>
            <w:hideMark/>
          </w:tcPr>
          <w:p w14:paraId="09F57CE0"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5</w:t>
            </w:r>
          </w:p>
        </w:tc>
        <w:tc>
          <w:tcPr>
            <w:tcW w:w="0" w:type="auto"/>
            <w:hideMark/>
          </w:tcPr>
          <w:p w14:paraId="29C45F2A" w14:textId="77777777" w:rsidR="0027311D" w:rsidRPr="0027311D" w:rsidRDefault="0027311D" w:rsidP="0027311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85%</w:t>
            </w:r>
          </w:p>
        </w:tc>
      </w:tr>
      <w:tr w:rsidR="0027311D" w:rsidRPr="0027311D" w14:paraId="3DB3D4ED" w14:textId="77777777" w:rsidTr="0027311D">
        <w:trPr>
          <w:trHeight w:val="44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D7FB27" w14:textId="77777777" w:rsidR="0027311D" w:rsidRPr="0027311D" w:rsidRDefault="0027311D" w:rsidP="0027311D">
            <w:pPr>
              <w:jc w:val="center"/>
              <w:rPr>
                <w:rFonts w:asciiTheme="majorHAnsi" w:hAnsiTheme="majorHAnsi" w:cs="Times New Roman"/>
              </w:rPr>
            </w:pPr>
            <w:r w:rsidRPr="0027311D">
              <w:rPr>
                <w:rFonts w:asciiTheme="majorHAnsi" w:hAnsiTheme="majorHAnsi" w:cs="Times New Roman"/>
              </w:rPr>
              <w:t>Rural, Low-Income</w:t>
            </w:r>
          </w:p>
        </w:tc>
        <w:tc>
          <w:tcPr>
            <w:tcW w:w="0" w:type="auto"/>
            <w:hideMark/>
          </w:tcPr>
          <w:p w14:paraId="57CAF696"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Low</w:t>
            </w:r>
          </w:p>
        </w:tc>
        <w:tc>
          <w:tcPr>
            <w:tcW w:w="0" w:type="auto"/>
            <w:hideMark/>
          </w:tcPr>
          <w:p w14:paraId="2062B63B"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2</w:t>
            </w:r>
          </w:p>
        </w:tc>
        <w:tc>
          <w:tcPr>
            <w:tcW w:w="0" w:type="auto"/>
            <w:hideMark/>
          </w:tcPr>
          <w:p w14:paraId="05F5B1D4" w14:textId="77777777" w:rsidR="0027311D" w:rsidRPr="0027311D" w:rsidRDefault="0027311D" w:rsidP="0027311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7311D">
              <w:rPr>
                <w:rFonts w:asciiTheme="majorHAnsi" w:hAnsiTheme="majorHAnsi" w:cs="Times New Roman"/>
              </w:rPr>
              <w:t>50%</w:t>
            </w:r>
          </w:p>
        </w:tc>
      </w:tr>
    </w:tbl>
    <w:p w14:paraId="36FC69CE"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Table 3 demonstrates that urban, high-income students have high access to the technology, which enables more involvement with AI tools. The overall hours spent by these students with AI-based learning resources per week were 5, which was 85% of the usage of the tools in total. On the other hand, low-income and rural students had very low access to technology as 2 hours per week were used on AI-based tools, and half used all the resources they had. These low levels of engagement were caused by the unavailability of speedy internet, technological equipment and online training.</w:t>
      </w:r>
    </w:p>
    <w:p w14:paraId="0C73D849"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This gap highlights the fact that technological infrastructure in the rural and underserved regions needs to be enhanced. Rural students cannot take full advantage of the opportunities that AI systems provide them with due to the lack of proper access to digital resources.</w:t>
      </w:r>
    </w:p>
    <w:p w14:paraId="533D10D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These variations in performance results and the level of engagement have a big implication on personal guidance, educational/academic guidance, and placement guidance.</w:t>
      </w:r>
    </w:p>
    <w:p w14:paraId="68BB8A93"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Personal Guidance: Urban students who have a higher access to the AI tools are provided with more personal learning support, which improves their capacity to learn the content and their academic achievements. Teachers are able to give personalized instructions using AI generated information. Conversely, the students living in the rural areas and having the obstacles to the use of AI instruments need extra human instructions by the teachers to replace the individual care offered by AI.</w:t>
      </w:r>
    </w:p>
    <w:p w14:paraId="7DC02960"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Educational/Academic Guidance: AI systems can provide a substantial improvement in the area of educational guidance as it can give a personalized learning experience. Nevertheless, such a prospect is not fully achieved by the rural students, who have a problem with access to technology and digital literacy. In the cities where AI tools are more accessible, teachers are in a better position to offer more efficient academic advice as they rely on the information contributed by AI platforms to modify their educational methods to suit the requirements of separate students.</w:t>
      </w:r>
    </w:p>
    <w:p w14:paraId="5000515E"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Placement Guidance: Guidance can be used via AI-enhanced learning systems to impact academic and career placements of students through academic performance improvement; however, the differences in engagement and performance between urban and rural students may impact their future opportunities. With more access to AI, urban students will have better academic performance, which will provide an advantage in admissions and employment opportunities in higher education. Rural students, in their turn, have difficulties with using AI tools and this may restrain their academic achievements and further prospects. Guidance of the rural students needs to be laid on enhancing their digital literacy and provide them with fair access to AI-enabled learning tools so that they can be brought to compete on equal terms.</w:t>
      </w:r>
    </w:p>
    <w:p w14:paraId="373E68FA"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b/>
          <w:bCs/>
        </w:rPr>
      </w:pPr>
      <w:r w:rsidRPr="0027311D">
        <w:rPr>
          <w:rFonts w:asciiTheme="majorHAnsi" w:eastAsia="Times New Roman" w:hAnsiTheme="majorHAnsi" w:cs="Times New Roman"/>
          <w:b/>
          <w:bCs/>
        </w:rPr>
        <w:t>DISCUSSION</w:t>
      </w:r>
    </w:p>
    <w:p w14:paraId="704E12E3"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The results of this paper show that there are major differences in the success of AI-powered individualized learning systems between urban, high-income students and rural, low-income students. Such findings are also consistent with the current research which shows that socio-economic aspects are also considered in the determination of the potential of students in accessing and utilizing technological advances in education. These </w:t>
      </w:r>
      <w:r w:rsidRPr="0027311D">
        <w:rPr>
          <w:rFonts w:asciiTheme="majorHAnsi" w:eastAsia="Times New Roman" w:hAnsiTheme="majorHAnsi" w:cs="Times New Roman"/>
        </w:rPr>
        <w:lastRenderedPageBreak/>
        <w:t>paragraphs will compare the findings with the previous research, practical implications that the study had will be discussed and limitations of the research are also mentioned and recommendations about future researches are given.</w:t>
      </w:r>
    </w:p>
    <w:p w14:paraId="7E37870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Such results are rather consistent with the previous research conducted to explore the relationship between the presence of technology and student achievement in learning environments with AI enhancement. Lee et al. (2020) also confirm that AI technologies will have a more positive effect on the students who have a higher chance of utilizing the resources, and this fact is also supported in the current research. The urban students enjoying high level of technological structure registered higher levels of engagement, completion and test score improvement as compared to the rural students. These results highlight the existing effects of socio-economic factors on the results of education. The successful implementation of educational technologies, including AI, is still subject to the presence of digital inequalities that are caused by the differences in accessibility and digital literacy, as discussed by Warschauer (2004) in his seminal book on digital equity. The article by Warschauer points out that, although the number of people that access the technological resources is currently on the rise, access to the resources remains unequally distributed, and individuals who possess inadequate access to the resources or are not digitally literate remain at the disadvantage.</w:t>
      </w:r>
    </w:p>
    <w:p w14:paraId="3343D50F"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In particular, the outcomes of the studies are consistent with the fact that the digital divide exists now, even in the age of AI, and it has led to the existing gaps in education as Warschauer (2004) claims. Learners in the rural setting, due to their technological constraints such as bad internet connections, obsolete technology and low digital literacy, will not reap the full benefits of the AI-based learning platforms. This confirms the fact that technology is not enough to bridge the education gap but equal access to technology as well as digital literacy is the most important to the success of AI in education (Jagtap &amp; Gaikwad, 2021).</w:t>
      </w:r>
    </w:p>
    <w:p w14:paraId="4C517F3C"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Moreover, the question of AI systems effectiveness has been addressed earlier by Holmes et al. (2019), and it proves that their performance is greatly conditioned by the conditions they are implemented in. According to Holmes et al., AI can be used to improve learning, but only in those settings where resources are scarce, i.e., rural schools and those with low incomes. This is consistent with the results of the current study, in which under-resourced rural schools showed lower engagement rate and worse performance results, when allowed access to the same AI tools as urban schools.</w:t>
      </w:r>
    </w:p>
    <w:p w14:paraId="6D8AF204"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This unequal nature of technological resource allocation is therefore a focus point in this paper, and this is in addition to the earlier conclusions that technological innovations in learning should be accompanied by the need to institute mechanisms that bring equality to all learners (Holmes et al., 2019). Personalized learning environments are created by AI can also become a two-sided sword: they have enormous potential in terms of personalized learning, but their efficiency depends on the access to the required infrastructure and competencies.</w:t>
      </w:r>
    </w:p>
    <w:p w14:paraId="06737FC3"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The implications of this study in practice are far-reaching especially to the policymakers, teachers and developers of technologies. The results suggest the necessity of the policy in which the use of AI tools is equitable to students in rural and underserved regions. In the absence of these policies, AI-based learning systems will continue to foster more inequitable gains by those who attend better-resourced urban schools at the expense of those in underprivileged regions.</w:t>
      </w:r>
    </w:p>
    <w:p w14:paraId="17F91C81"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According to Holmes et al. (2019), one of the core priorities of educational reforms should be to provide equal access to technology in order to make AI-based learning useful to all students. The policymakers should focus on the infrastructure investments, including the enhancement of the internet connection and access to the computing devices in the under-served schools. These investments should also include digital literacy programs because the rural population of the country is not necessarily skilled to use the AI systems productsively. Teachers should be prepared by means of proper training to incorporate AI tools into their instructions and overcome the digital gaps in their students.</w:t>
      </w:r>
    </w:p>
    <w:p w14:paraId="4AC7515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lastRenderedPageBreak/>
        <w:t>Moreover, AI technologies are to be made inclusive. The AI models must be flexible and able to operate in the settings where technology is not readily available. It may involve making AI systems more efficient with low-end software and providing offline functionality to students who lack access to the internet regularly. Additionally, AI systems are expected to accommodate various socio-cultural settings, where they are used. As an example, countryside students might possess their own needs and learning styles, and AI models should be flexible enough to cover them.</w:t>
      </w:r>
    </w:p>
    <w:p w14:paraId="5B882D3A"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In this work, it is also implied that artificial intelligence system might become a means of closing the education gap, although only when it is implemented in such a way that it does not neglect the digital divide. The collaboration of the educational stakeholders including governments, non-governmental organizations (NGOs), and technological companies that are privately owned is vital in adopting measures that can be used to fix the imbalances that deny many students a chance to access AI-based learning environments.</w:t>
      </w:r>
    </w:p>
    <w:p w14:paraId="123BF3DF"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A weakness of this study is the fact that only three districts were studied: two urban and one rural. Although this sample can be a good source of insights into the differences in AI learning environment, it might not be representative of all the educational settings in the larger regions or countries. The number of participants and geographical area of the study is rather small, and therefore, the result might not be applicable to other areas that have dissimilar rates of infrastructure or internet availability.</w:t>
      </w:r>
    </w:p>
    <w:p w14:paraId="210777C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It would also be helpful in future studies to increase the size of the sample and incorporate additional districts in various geographic areas and socio-economic conditions to have a more detailed picture of the effects of AI technologies on the outcomes of students in the different educational settings. This would aid in explaining the trends being seen in this study are indeed true to other regions with varying rates of technological infrastructure. Also, further research might focus on the long-term impact of AI-enhanced learning settings and determine whether the short-term performance gains of urban and high-income students are maintained in the long term and whether rural learners can be closed when provided with sufficient support.</w:t>
      </w:r>
    </w:p>
    <w:p w14:paraId="368A9E87"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The differentiation of AI models within social-economic status is another dimension that can be conducted in the future research. One of the research questions might be how AI tools that would suit an urban and wealthy environment would be different than those that would be used in under-resourced rural schools and whether the differences would affect the performance of students and their engagement. Moreover, the study would be able to evaluate the extent to which the design of AI systems can serve more underrepresented communities, and in this case, the study should center on how AI applications can be adapted to fit the unique educational requirements of marginalized communities.</w:t>
      </w:r>
    </w:p>
    <w:p w14:paraId="7EF0725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Last but not least, the role of teacher training in the effective implementation of AI products in learning environments is a factor to consider. Although the technological infrastructure is an essential factor, the skill of teachers to implement AI into their lessons is also significant. The effects of teacher training on reducing the digital divide and enhancing the performance of AI-based learning platforms (especially in rural or poor regions) can also be discussed in future research.</w:t>
      </w:r>
    </w:p>
    <w:p w14:paraId="695F5084"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b/>
          <w:bCs/>
        </w:rPr>
      </w:pPr>
      <w:r w:rsidRPr="0027311D">
        <w:rPr>
          <w:rFonts w:asciiTheme="majorHAnsi" w:eastAsia="Times New Roman" w:hAnsiTheme="majorHAnsi" w:cs="Times New Roman"/>
          <w:b/>
          <w:bCs/>
        </w:rPr>
        <w:t>CONCLUSION AND RECOMMENDATIONS.</w:t>
      </w:r>
    </w:p>
    <w:p w14:paraId="08A0BACA"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The present paper brings to focus the digital divide 2.0 in AI-enhanced personalized learning settings by showing that although AI has an enormous potential to enhance educational performance, not everyone can enjoy the benefits thereof. The study established that students in urban, high-income schools and regions scored higher because of increased access to technological tools, whereas student in rural and low-income schools and regions experienced difficulties with the full utilization of AI tools because of the low access to technology and low digital literacy. These results highlight the necessity to solve technological disparities in education systems so that AI can really be the benefit of all students, irrespective of their socio-economic backgrounds.</w:t>
      </w:r>
    </w:p>
    <w:p w14:paraId="192A7AE7"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lastRenderedPageBreak/>
        <w:t>This study is part of the expanding conversation about how AI tools have the potential to reinforce the educational disparities that already exist, especially up to the situation when the digital infrastructure and digital literacy are already unevenly distributed. This paper highlights that the digital divide has to be overcome in order that AI-driven learning systems can be effective in all students. This research is important in informing policymakers, teachers, and technology creators on how to develop more inclusive systems since it determines the particular barriers rural and low-income students encounter when accessing AI-based learning platforms.</w:t>
      </w:r>
    </w:p>
    <w:p w14:paraId="0DB9A72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Considering the results, there arise a number of recommendations related to enhancing the equity in AI tools accessibility in the field of education:</w:t>
      </w:r>
    </w:p>
    <w:p w14:paraId="264DE4E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1.</w:t>
      </w:r>
      <w:r w:rsidRPr="0027311D">
        <w:rPr>
          <w:rFonts w:asciiTheme="majorHAnsi" w:eastAsia="Times New Roman" w:hAnsiTheme="majorHAnsi" w:cs="Times New Roman"/>
        </w:rPr>
        <w:tab/>
        <w:t>Infrastructure investment: The governments and institutions of learning should focus on investing in infrastructure and especially in the rural regions which are not well served by the technology infrastructure and the modern computing machines to have access to reliable internet access.</w:t>
      </w:r>
    </w:p>
    <w:p w14:paraId="155316B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2.</w:t>
      </w:r>
      <w:r w:rsidRPr="0027311D">
        <w:rPr>
          <w:rFonts w:asciiTheme="majorHAnsi" w:eastAsia="Times New Roman" w:hAnsiTheme="majorHAnsi" w:cs="Times New Roman"/>
        </w:rPr>
        <w:tab/>
        <w:t>Digital Literacy Programs: Digital literacy programs need to be introduced both to students and teachers so that every students, notwithstanding their socio-economic status, can be provided with the necessary skills to adequately utilize AI tools.</w:t>
      </w:r>
    </w:p>
    <w:p w14:paraId="2F9AFEB6"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3.</w:t>
      </w:r>
      <w:r w:rsidRPr="0027311D">
        <w:rPr>
          <w:rFonts w:asciiTheme="majorHAnsi" w:eastAsia="Times New Roman" w:hAnsiTheme="majorHAnsi" w:cs="Times New Roman"/>
        </w:rPr>
        <w:tab/>
        <w:t>Design of the inclusive AI models: AI developers must create the tools that can be compatible with various teaching settings and operate in the context of low technology. This involves training AI models to be efficient in devices at the lower-end and in low-internet regions.</w:t>
      </w:r>
    </w:p>
    <w:p w14:paraId="682A679A"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4.</w:t>
      </w:r>
      <w:r w:rsidRPr="0027311D">
        <w:rPr>
          <w:rFonts w:asciiTheme="majorHAnsi" w:eastAsia="Times New Roman" w:hAnsiTheme="majorHAnsi" w:cs="Times New Roman"/>
        </w:rPr>
        <w:tab/>
        <w:t>Teacher Training: To assure that everyone equally benefits the personalized learning, it will be possible to provide thorough training of teachers on how to apply AI tools to their learning styles.</w:t>
      </w:r>
    </w:p>
    <w:p w14:paraId="3DD576D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Future studies ought to be directed at creating AI that are more flexible to various educational conditions with special consideration of access to students who are marginalized. Further research on the long-term effects of AI in disadvantaged groups would also shed more light on how to make AI work really to balance the educational playing field.</w:t>
      </w:r>
    </w:p>
    <w:p w14:paraId="413C94D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b/>
          <w:bCs/>
        </w:rPr>
        <w:t>REFERENCES</w:t>
      </w:r>
    </w:p>
    <w:p w14:paraId="4C2685D9"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Adams, J. S. (1965). Inequity in social exchange. </w:t>
      </w:r>
      <w:r w:rsidRPr="0027311D">
        <w:rPr>
          <w:rFonts w:asciiTheme="majorHAnsi" w:eastAsia="Times New Roman" w:hAnsiTheme="majorHAnsi" w:cs="Times New Roman"/>
          <w:i/>
          <w:iCs/>
        </w:rPr>
        <w:t>Advances in Experimental Social Psychology</w:t>
      </w:r>
      <w:r w:rsidRPr="0027311D">
        <w:rPr>
          <w:rFonts w:asciiTheme="majorHAnsi" w:eastAsia="Times New Roman" w:hAnsiTheme="majorHAnsi" w:cs="Times New Roman"/>
        </w:rPr>
        <w:t>, 2, 267-299. https://doi.org/10.1016/S0065-2601(08)60108-2</w:t>
      </w:r>
    </w:p>
    <w:p w14:paraId="7CE9A0D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Baker, E., &amp; Smith, D. (2020). AI in education: Challenges and opportunities for underserved populations. </w:t>
      </w:r>
      <w:r w:rsidRPr="0027311D">
        <w:rPr>
          <w:rFonts w:asciiTheme="majorHAnsi" w:eastAsia="Times New Roman" w:hAnsiTheme="majorHAnsi" w:cs="Times New Roman"/>
          <w:i/>
          <w:iCs/>
        </w:rPr>
        <w:t>Journal of Educational Technology Development and Exchange (JETDE)</w:t>
      </w:r>
      <w:r w:rsidRPr="0027311D">
        <w:rPr>
          <w:rFonts w:asciiTheme="majorHAnsi" w:eastAsia="Times New Roman" w:hAnsiTheme="majorHAnsi" w:cs="Times New Roman"/>
        </w:rPr>
        <w:t>, 13(2), 112-126. https://doi.org/10.1007/s42438-020-00125-z</w:t>
      </w:r>
    </w:p>
    <w:p w14:paraId="29CC04C4"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Braun, V., &amp; Clarke, V. (2006). Using thematic analysis in psychology. </w:t>
      </w:r>
      <w:r w:rsidRPr="0027311D">
        <w:rPr>
          <w:rFonts w:asciiTheme="majorHAnsi" w:eastAsia="Times New Roman" w:hAnsiTheme="majorHAnsi" w:cs="Times New Roman"/>
          <w:i/>
          <w:iCs/>
        </w:rPr>
        <w:t>Qualitative Research in Psychology</w:t>
      </w:r>
      <w:r w:rsidRPr="0027311D">
        <w:rPr>
          <w:rFonts w:asciiTheme="majorHAnsi" w:eastAsia="Times New Roman" w:hAnsiTheme="majorHAnsi" w:cs="Times New Roman"/>
        </w:rPr>
        <w:t xml:space="preserve">, 3(2), 77-101. </w:t>
      </w:r>
      <w:hyperlink r:id="rId17" w:tgtFrame="_new" w:history="1">
        <w:r w:rsidRPr="0027311D">
          <w:rPr>
            <w:rFonts w:asciiTheme="majorHAnsi" w:eastAsia="Times New Roman" w:hAnsiTheme="majorHAnsi" w:cs="Times New Roman"/>
            <w:color w:val="0000FF"/>
            <w:u w:val="single"/>
          </w:rPr>
          <w:t>https://doi.org/10.1191/1478088706qp063oa</w:t>
        </w:r>
      </w:hyperlink>
    </w:p>
    <w:p w14:paraId="12DF9093"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Creswell, J. W., &amp; Creswell, J. D. (2017). Research design: Qualitative, quantitative, and mixed methods approaches (5th ed.). SAGE Publications.</w:t>
      </w:r>
    </w:p>
    <w:p w14:paraId="25BA01D0"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Creswell, J. W., &amp; Plano Clark, V. L. (2018). Designing and conducting mixed methods research (3rd ed.). SAGE Publications.</w:t>
      </w:r>
    </w:p>
    <w:p w14:paraId="6BE45B0E"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Holmes, W., Bialik, M., &amp; Fadel, C. (2019). Artificial intelligence in education: Promises and implications for teaching and learning. Center for Curriculum Redesign.</w:t>
      </w:r>
    </w:p>
    <w:p w14:paraId="328627C4"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lastRenderedPageBreak/>
        <w:t xml:space="preserve">  Jagtap, S., &amp; Gaikwad, A. (2021). Challenges in implementing AI-based learning in underserved communities. </w:t>
      </w:r>
      <w:r w:rsidRPr="0027311D">
        <w:rPr>
          <w:rFonts w:asciiTheme="majorHAnsi" w:eastAsia="Times New Roman" w:hAnsiTheme="majorHAnsi" w:cs="Times New Roman"/>
          <w:i/>
          <w:iCs/>
        </w:rPr>
        <w:t>International Journal of Educational Technology</w:t>
      </w:r>
      <w:r w:rsidRPr="0027311D">
        <w:rPr>
          <w:rFonts w:asciiTheme="majorHAnsi" w:eastAsia="Times New Roman" w:hAnsiTheme="majorHAnsi" w:cs="Times New Roman"/>
        </w:rPr>
        <w:t>, 42(3), 256-273. https://doi.org/10.1007/s10758-020-09406-4</w:t>
      </w:r>
    </w:p>
    <w:p w14:paraId="5FB0517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Lee, J., Yoo, M., &amp; Kwon, Y. (2020). Digital equity in AI education systems: A comparative study. </w:t>
      </w:r>
      <w:r w:rsidRPr="0027311D">
        <w:rPr>
          <w:rFonts w:asciiTheme="majorHAnsi" w:eastAsia="Times New Roman" w:hAnsiTheme="majorHAnsi" w:cs="Times New Roman"/>
          <w:i/>
          <w:iCs/>
        </w:rPr>
        <w:t>Journal of Education and Information Technologies</w:t>
      </w:r>
      <w:r w:rsidRPr="0027311D">
        <w:rPr>
          <w:rFonts w:asciiTheme="majorHAnsi" w:eastAsia="Times New Roman" w:hAnsiTheme="majorHAnsi" w:cs="Times New Roman"/>
        </w:rPr>
        <w:t>, 25(1), 73-89. https://doi.org/10.1007/s10639-019-10309-x</w:t>
      </w:r>
    </w:p>
    <w:p w14:paraId="0A31EBBF"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Warschauer, M. (2004). Technology and equity in education. </w:t>
      </w:r>
      <w:r w:rsidRPr="0027311D">
        <w:rPr>
          <w:rFonts w:asciiTheme="majorHAnsi" w:eastAsia="Times New Roman" w:hAnsiTheme="majorHAnsi" w:cs="Times New Roman"/>
          <w:i/>
          <w:iCs/>
        </w:rPr>
        <w:t>Journal of Educational Computing Research</w:t>
      </w:r>
      <w:r w:rsidRPr="0027311D">
        <w:rPr>
          <w:rFonts w:asciiTheme="majorHAnsi" w:eastAsia="Times New Roman" w:hAnsiTheme="majorHAnsi" w:cs="Times New Roman"/>
        </w:rPr>
        <w:t>, 31(4), 365-378. https://doi.org/10.2190/1BCY-KV60-B16W-DRM7</w:t>
      </w:r>
    </w:p>
    <w:p w14:paraId="382DA3A0"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Zawacki-Richter, O., &amp; Anderson, T. (2014). The impact of AI and online learning: Lessons learned and challenges ahead. </w:t>
      </w:r>
      <w:r w:rsidRPr="0027311D">
        <w:rPr>
          <w:rFonts w:asciiTheme="majorHAnsi" w:eastAsia="Times New Roman" w:hAnsiTheme="majorHAnsi" w:cs="Times New Roman"/>
          <w:i/>
          <w:iCs/>
        </w:rPr>
        <w:t>The International Review of Research in Open and Distributed Learning</w:t>
      </w:r>
      <w:r w:rsidRPr="0027311D">
        <w:rPr>
          <w:rFonts w:asciiTheme="majorHAnsi" w:eastAsia="Times New Roman" w:hAnsiTheme="majorHAnsi" w:cs="Times New Roman"/>
        </w:rPr>
        <w:t>, 15(5), 126-137. https://doi.org/10.19173/irrodl.v15i5.1872</w:t>
      </w:r>
    </w:p>
    <w:p w14:paraId="49EB1587"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Hwang, G.-J., &amp; Chen, C.-M. (2017). Ubiquitous learning environments: A comparison of AI tools in higher education. </w:t>
      </w:r>
      <w:r w:rsidRPr="0027311D">
        <w:rPr>
          <w:rFonts w:asciiTheme="majorHAnsi" w:eastAsia="Times New Roman" w:hAnsiTheme="majorHAnsi" w:cs="Times New Roman"/>
          <w:i/>
          <w:iCs/>
        </w:rPr>
        <w:t>Computers &amp; Education</w:t>
      </w:r>
      <w:r w:rsidRPr="0027311D">
        <w:rPr>
          <w:rFonts w:asciiTheme="majorHAnsi" w:eastAsia="Times New Roman" w:hAnsiTheme="majorHAnsi" w:cs="Times New Roman"/>
        </w:rPr>
        <w:t>, 108, 92-105. https://doi.org/10.1016/j.compedu.2017.02.009</w:t>
      </w:r>
    </w:p>
    <w:p w14:paraId="5AA5C52B"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Dede, C., &amp; Richards, J. (2021). Artificial intelligence in education: Current trends and future implications. </w:t>
      </w:r>
      <w:r w:rsidRPr="0027311D">
        <w:rPr>
          <w:rFonts w:asciiTheme="majorHAnsi" w:eastAsia="Times New Roman" w:hAnsiTheme="majorHAnsi" w:cs="Times New Roman"/>
          <w:i/>
          <w:iCs/>
        </w:rPr>
        <w:t>Educational Technology Research and Development</w:t>
      </w:r>
      <w:r w:rsidRPr="0027311D">
        <w:rPr>
          <w:rFonts w:asciiTheme="majorHAnsi" w:eastAsia="Times New Roman" w:hAnsiTheme="majorHAnsi" w:cs="Times New Roman"/>
        </w:rPr>
        <w:t>, 69(3), 425-438. https://doi.org/10.1007/s11423-021-09935-5</w:t>
      </w:r>
    </w:p>
    <w:p w14:paraId="2489D665"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Cope, B., &amp; Kalantzis, M. (2020). AI in education: A new wave of personalized learning. </w:t>
      </w:r>
      <w:r w:rsidRPr="0027311D">
        <w:rPr>
          <w:rFonts w:asciiTheme="majorHAnsi" w:eastAsia="Times New Roman" w:hAnsiTheme="majorHAnsi" w:cs="Times New Roman"/>
          <w:i/>
          <w:iCs/>
        </w:rPr>
        <w:t>Learning, Media and Technology</w:t>
      </w:r>
      <w:r w:rsidRPr="0027311D">
        <w:rPr>
          <w:rFonts w:asciiTheme="majorHAnsi" w:eastAsia="Times New Roman" w:hAnsiTheme="majorHAnsi" w:cs="Times New Roman"/>
        </w:rPr>
        <w:t>, 45(3), 348-362. https://doi.org/10.1080/17439884.2020.1807410</w:t>
      </w:r>
    </w:p>
    <w:p w14:paraId="56F29703"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Heffernan, N. T., &amp; Heffernan, C. L. (2014). Intelligent tutoring systems: Insights from AI in education. </w:t>
      </w:r>
      <w:r w:rsidRPr="0027311D">
        <w:rPr>
          <w:rFonts w:asciiTheme="majorHAnsi" w:eastAsia="Times New Roman" w:hAnsiTheme="majorHAnsi" w:cs="Times New Roman"/>
          <w:i/>
          <w:iCs/>
        </w:rPr>
        <w:t>Journal of Educational Computing Research</w:t>
      </w:r>
      <w:r w:rsidRPr="0027311D">
        <w:rPr>
          <w:rFonts w:asciiTheme="majorHAnsi" w:eastAsia="Times New Roman" w:hAnsiTheme="majorHAnsi" w:cs="Times New Roman"/>
        </w:rPr>
        <w:t>, 50(1), 1-29. https://doi.org/10.2190/EC.50.1.a</w:t>
      </w:r>
    </w:p>
    <w:p w14:paraId="33984261"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Siemens, G. (2013). Learning analytics: The emerging field of AI-based education. </w:t>
      </w:r>
      <w:r w:rsidRPr="0027311D">
        <w:rPr>
          <w:rFonts w:asciiTheme="majorHAnsi" w:eastAsia="Times New Roman" w:hAnsiTheme="majorHAnsi" w:cs="Times New Roman"/>
          <w:i/>
          <w:iCs/>
        </w:rPr>
        <w:t>Journal of Educational Technology</w:t>
      </w:r>
      <w:r w:rsidRPr="0027311D">
        <w:rPr>
          <w:rFonts w:asciiTheme="majorHAnsi" w:eastAsia="Times New Roman" w:hAnsiTheme="majorHAnsi" w:cs="Times New Roman"/>
        </w:rPr>
        <w:t>, 32(2), 49-58. https://doi.org/10.1007/s11528-013-0662-3</w:t>
      </w:r>
    </w:p>
    <w:p w14:paraId="7337597A" w14:textId="77777777" w:rsidR="0027311D" w:rsidRPr="0027311D" w:rsidRDefault="0027311D" w:rsidP="0027311D">
      <w:pPr>
        <w:spacing w:before="100" w:beforeAutospacing="1" w:after="100" w:afterAutospacing="1" w:line="240" w:lineRule="auto"/>
        <w:jc w:val="both"/>
        <w:rPr>
          <w:rFonts w:asciiTheme="majorHAnsi" w:eastAsia="Times New Roman" w:hAnsiTheme="majorHAnsi" w:cs="Times New Roman"/>
        </w:rPr>
      </w:pPr>
      <w:r w:rsidRPr="0027311D">
        <w:rPr>
          <w:rFonts w:asciiTheme="majorHAnsi" w:eastAsia="Times New Roman" w:hAnsiTheme="majorHAnsi" w:cs="Times New Roman"/>
        </w:rPr>
        <w:t xml:space="preserve">  UNESCO. (2021). Artificial intelligence in education: Challenges and opportunities for sustainable development. </w:t>
      </w:r>
      <w:r w:rsidRPr="0027311D">
        <w:rPr>
          <w:rFonts w:asciiTheme="majorHAnsi" w:eastAsia="Times New Roman" w:hAnsiTheme="majorHAnsi" w:cs="Times New Roman"/>
          <w:i/>
          <w:iCs/>
        </w:rPr>
        <w:t>UNESCO Education Futures Series</w:t>
      </w:r>
      <w:r w:rsidRPr="0027311D">
        <w:rPr>
          <w:rFonts w:asciiTheme="majorHAnsi" w:eastAsia="Times New Roman" w:hAnsiTheme="majorHAnsi" w:cs="Times New Roman"/>
        </w:rPr>
        <w:t>. https://unesdoc.unesco.org/ark:/48223/pf000037888</w:t>
      </w:r>
    </w:p>
    <w:p w14:paraId="2D70A026" w14:textId="77777777" w:rsidR="0027311D" w:rsidRPr="00F141AE" w:rsidRDefault="0027311D" w:rsidP="0027311D">
      <w:pPr>
        <w:spacing w:line="360" w:lineRule="auto"/>
        <w:jc w:val="both"/>
        <w:rPr>
          <w:rFonts w:ascii="Times New Roman" w:hAnsi="Times New Roman" w:cs="Times New Roman"/>
          <w:sz w:val="24"/>
          <w:szCs w:val="24"/>
        </w:rPr>
      </w:pPr>
    </w:p>
    <w:p w14:paraId="54BC8AF9" w14:textId="77777777" w:rsidR="00BE0F3C" w:rsidRPr="009B761F" w:rsidRDefault="00BE0F3C" w:rsidP="0027311D">
      <w:pPr>
        <w:spacing w:line="240" w:lineRule="auto"/>
        <w:jc w:val="both"/>
        <w:rPr>
          <w:rFonts w:asciiTheme="majorHAnsi" w:hAnsiTheme="majorHAnsi"/>
        </w:rPr>
      </w:pPr>
    </w:p>
    <w:sectPr w:rsidR="00BE0F3C" w:rsidRPr="009B761F" w:rsidSect="00F1646A">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28D9" w14:textId="77777777" w:rsidR="005C3A2C" w:rsidRDefault="005C3A2C" w:rsidP="00BE0F3C">
      <w:pPr>
        <w:spacing w:after="0" w:line="240" w:lineRule="auto"/>
      </w:pPr>
      <w:r>
        <w:separator/>
      </w:r>
    </w:p>
  </w:endnote>
  <w:endnote w:type="continuationSeparator" w:id="0">
    <w:p w14:paraId="6015DA92" w14:textId="77777777" w:rsidR="005C3A2C" w:rsidRDefault="005C3A2C"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FDD1" w14:textId="77777777" w:rsidR="00F1646A" w:rsidRDefault="00F1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59ECCA87" w14:textId="77777777">
      <w:trPr>
        <w:trHeight w:val="151"/>
      </w:trPr>
      <w:tc>
        <w:tcPr>
          <w:tcW w:w="2250" w:type="pct"/>
          <w:tcBorders>
            <w:bottom w:val="single" w:sz="4" w:space="0" w:color="4F81BD" w:themeColor="accent1"/>
          </w:tcBorders>
        </w:tcPr>
        <w:p w14:paraId="1F1D7462"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4806A5F3"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27311D" w:rsidRPr="0027311D">
            <w:rPr>
              <w:rFonts w:asciiTheme="majorHAnsi" w:eastAsiaTheme="majorEastAsia" w:hAnsiTheme="majorHAnsi" w:cstheme="majorBidi"/>
              <w:b/>
              <w:bCs/>
              <w:noProof/>
              <w:sz w:val="20"/>
            </w:rPr>
            <w:t>39</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421926A8" w14:textId="77777777" w:rsidR="00BE0F3C" w:rsidRDefault="00BE0F3C">
          <w:pPr>
            <w:pStyle w:val="Header"/>
            <w:rPr>
              <w:rFonts w:asciiTheme="majorHAnsi" w:eastAsiaTheme="majorEastAsia" w:hAnsiTheme="majorHAnsi" w:cstheme="majorBidi"/>
              <w:b/>
              <w:bCs/>
            </w:rPr>
          </w:pPr>
        </w:p>
      </w:tc>
    </w:tr>
    <w:tr w:rsidR="00BE0F3C" w14:paraId="350298B5" w14:textId="77777777">
      <w:trPr>
        <w:trHeight w:val="150"/>
      </w:trPr>
      <w:tc>
        <w:tcPr>
          <w:tcW w:w="2250" w:type="pct"/>
          <w:tcBorders>
            <w:top w:val="single" w:sz="4" w:space="0" w:color="4F81BD" w:themeColor="accent1"/>
          </w:tcBorders>
        </w:tcPr>
        <w:p w14:paraId="6C229287" w14:textId="77777777" w:rsidR="00BE0F3C" w:rsidRDefault="00BE0F3C">
          <w:pPr>
            <w:pStyle w:val="Header"/>
            <w:rPr>
              <w:rFonts w:asciiTheme="majorHAnsi" w:eastAsiaTheme="majorEastAsia" w:hAnsiTheme="majorHAnsi" w:cstheme="majorBidi"/>
              <w:b/>
              <w:bCs/>
            </w:rPr>
          </w:pPr>
        </w:p>
      </w:tc>
      <w:tc>
        <w:tcPr>
          <w:tcW w:w="500" w:type="pct"/>
          <w:vMerge/>
        </w:tcPr>
        <w:p w14:paraId="055C3E0E"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3EC5600D" w14:textId="77777777" w:rsidR="00BE0F3C" w:rsidRDefault="00BE0F3C">
          <w:pPr>
            <w:pStyle w:val="Header"/>
            <w:rPr>
              <w:rFonts w:asciiTheme="majorHAnsi" w:eastAsiaTheme="majorEastAsia" w:hAnsiTheme="majorHAnsi" w:cstheme="majorBidi"/>
              <w:b/>
              <w:bCs/>
            </w:rPr>
          </w:pPr>
        </w:p>
      </w:tc>
    </w:tr>
  </w:tbl>
  <w:p w14:paraId="3FA92442" w14:textId="77777777" w:rsidR="00BE0F3C" w:rsidRDefault="00BE0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6376" w14:textId="77777777" w:rsidR="00F1646A" w:rsidRDefault="00F1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381D" w14:textId="77777777" w:rsidR="005C3A2C" w:rsidRDefault="005C3A2C" w:rsidP="00BE0F3C">
      <w:pPr>
        <w:spacing w:after="0" w:line="240" w:lineRule="auto"/>
      </w:pPr>
      <w:r>
        <w:separator/>
      </w:r>
    </w:p>
  </w:footnote>
  <w:footnote w:type="continuationSeparator" w:id="0">
    <w:p w14:paraId="2B1423ED" w14:textId="77777777" w:rsidR="005C3A2C" w:rsidRDefault="005C3A2C"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0EB0" w14:textId="77777777" w:rsidR="00F1646A" w:rsidRDefault="00F16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E5FA"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8722F79" wp14:editId="4F94341C">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030B9" w14:textId="3CE40D5F"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27311D">
                            <w:rPr>
                              <w:rFonts w:asciiTheme="majorHAnsi" w:hAnsiTheme="majorHAnsi"/>
                              <w:b/>
                              <w:sz w:val="28"/>
                            </w:rPr>
                            <w:t>ial Sciences 4(2</w:t>
                          </w:r>
                          <w:r w:rsidR="006B21AD">
                            <w:rPr>
                              <w:rFonts w:asciiTheme="majorHAnsi" w:hAnsiTheme="majorHAnsi"/>
                              <w:b/>
                              <w:sz w:val="28"/>
                            </w:rPr>
                            <w:t>) (2025</w:t>
                          </w:r>
                          <w:r w:rsidR="0027311D">
                            <w:rPr>
                              <w:rFonts w:asciiTheme="majorHAnsi" w:hAnsiTheme="majorHAnsi"/>
                              <w:b/>
                              <w:sz w:val="28"/>
                            </w:rPr>
                            <w:t xml:space="preserve">) </w:t>
                          </w:r>
                          <w:r w:rsidR="00F1646A">
                            <w:rPr>
                              <w:rFonts w:asciiTheme="majorHAnsi" w:hAnsiTheme="majorHAnsi"/>
                              <w:b/>
                              <w:sz w:val="28"/>
                            </w:rPr>
                            <w:t>41</w:t>
                          </w:r>
                          <w:r w:rsidR="0027311D">
                            <w:rPr>
                              <w:rFonts w:asciiTheme="majorHAnsi" w:hAnsiTheme="majorHAnsi"/>
                              <w:b/>
                              <w:sz w:val="28"/>
                            </w:rPr>
                            <w:t>-</w:t>
                          </w:r>
                          <w:r w:rsidR="00F1646A">
                            <w:rPr>
                              <w:rFonts w:asciiTheme="majorHAnsi" w:hAnsiTheme="majorHAnsi"/>
                              <w:b/>
                              <w:sz w:val="28"/>
                            </w:rPr>
                            <w:t>52</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78722F79"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5DA030B9" w14:textId="3CE40D5F"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27311D">
                      <w:rPr>
                        <w:rFonts w:asciiTheme="majorHAnsi" w:hAnsiTheme="majorHAnsi"/>
                        <w:b/>
                        <w:sz w:val="28"/>
                      </w:rPr>
                      <w:t>ial Sciences 4(2</w:t>
                    </w:r>
                    <w:r w:rsidR="006B21AD">
                      <w:rPr>
                        <w:rFonts w:asciiTheme="majorHAnsi" w:hAnsiTheme="majorHAnsi"/>
                        <w:b/>
                        <w:sz w:val="28"/>
                      </w:rPr>
                      <w:t>) (2025</w:t>
                    </w:r>
                    <w:r w:rsidR="0027311D">
                      <w:rPr>
                        <w:rFonts w:asciiTheme="majorHAnsi" w:hAnsiTheme="majorHAnsi"/>
                        <w:b/>
                        <w:sz w:val="28"/>
                      </w:rPr>
                      <w:t xml:space="preserve">) </w:t>
                    </w:r>
                    <w:r w:rsidR="00F1646A">
                      <w:rPr>
                        <w:rFonts w:asciiTheme="majorHAnsi" w:hAnsiTheme="majorHAnsi"/>
                        <w:b/>
                        <w:sz w:val="28"/>
                      </w:rPr>
                      <w:t>41</w:t>
                    </w:r>
                    <w:r w:rsidR="0027311D">
                      <w:rPr>
                        <w:rFonts w:asciiTheme="majorHAnsi" w:hAnsiTheme="majorHAnsi"/>
                        <w:b/>
                        <w:sz w:val="28"/>
                      </w:rPr>
                      <w:t>-</w:t>
                    </w:r>
                    <w:r w:rsidR="00F1646A">
                      <w:rPr>
                        <w:rFonts w:asciiTheme="majorHAnsi" w:hAnsiTheme="majorHAnsi"/>
                        <w:b/>
                        <w:sz w:val="28"/>
                      </w:rPr>
                      <w:t>52</w:t>
                    </w:r>
                  </w:p>
                </w:txbxContent>
              </v:textbox>
              <w10:wrap anchorx="margin" anchory="page"/>
            </v:rect>
          </w:pict>
        </mc:Fallback>
      </mc:AlternateContent>
    </w:r>
  </w:p>
  <w:p w14:paraId="2778A8D9" w14:textId="77777777" w:rsidR="00BE0F3C" w:rsidRPr="00BE0F3C" w:rsidRDefault="00BE0F3C">
    <w:pPr>
      <w:pStyle w:val="Header"/>
      <w:rPr>
        <w:rFonts w:asciiTheme="majorHAnsi" w:hAnsiTheme="majorHAns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B335" w14:textId="77777777" w:rsidR="00F1646A" w:rsidRDefault="00F16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EB2C2A"/>
    <w:multiLevelType w:val="hybridMultilevel"/>
    <w:tmpl w:val="2F12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72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6838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6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1D45B8"/>
    <w:rsid w:val="001E632E"/>
    <w:rsid w:val="00236954"/>
    <w:rsid w:val="0027311D"/>
    <w:rsid w:val="00304206"/>
    <w:rsid w:val="00360810"/>
    <w:rsid w:val="004F65C6"/>
    <w:rsid w:val="005C22CC"/>
    <w:rsid w:val="005C3A2C"/>
    <w:rsid w:val="006B21AD"/>
    <w:rsid w:val="007570FF"/>
    <w:rsid w:val="00801138"/>
    <w:rsid w:val="009018CE"/>
    <w:rsid w:val="009B761F"/>
    <w:rsid w:val="00A33522"/>
    <w:rsid w:val="00BE0F3C"/>
    <w:rsid w:val="00E44DF5"/>
    <w:rsid w:val="00F1646A"/>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15D1"/>
  <w15:docId w15:val="{827D9A10-A00A-4E2E-8DBC-42B0006B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uiPriority w:val="99"/>
    <w:unhideWhenUsed/>
    <w:qFormat/>
    <w:rsid w:val="009B761F"/>
    <w:rPr>
      <w:color w:val="0000FF"/>
      <w:u w:val="single"/>
    </w:rPr>
  </w:style>
  <w:style w:type="paragraph" w:styleId="ListParagraph">
    <w:name w:val="List Paragraph"/>
    <w:basedOn w:val="Normal"/>
    <w:uiPriority w:val="34"/>
    <w:qFormat/>
    <w:rsid w:val="0027311D"/>
    <w:pPr>
      <w:ind w:left="720"/>
      <w:contextualSpacing/>
    </w:pPr>
  </w:style>
  <w:style w:type="paragraph" w:styleId="NormalWeb">
    <w:name w:val="Normal (Web)"/>
    <w:basedOn w:val="Normal"/>
    <w:uiPriority w:val="99"/>
    <w:unhideWhenUsed/>
    <w:rsid w:val="002731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11D"/>
    <w:rPr>
      <w:b/>
      <w:bCs/>
    </w:rPr>
  </w:style>
  <w:style w:type="table" w:styleId="LightShading">
    <w:name w:val="Light Shading"/>
    <w:basedOn w:val="TableNormal"/>
    <w:uiPriority w:val="60"/>
    <w:rsid w:val="002731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hyperlink" Target="https://doi.org/10.1191/1478088706qp063o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arda_kama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mran_khattak@hotmail.com"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6631</Words>
  <Characters>37800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3</cp:revision>
  <dcterms:created xsi:type="dcterms:W3CDTF">2025-12-21T03:51:00Z</dcterms:created>
  <dcterms:modified xsi:type="dcterms:W3CDTF">2025-12-22T04:18:00Z</dcterms:modified>
</cp:coreProperties>
</file>