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A545" w14:textId="77777777" w:rsidR="00304206" w:rsidRPr="009B761F" w:rsidRDefault="00304206" w:rsidP="007570FF">
      <w:pPr>
        <w:pStyle w:val="BodyText"/>
        <w:ind w:right="424"/>
        <w:rPr>
          <w:rFonts w:asciiTheme="majorHAnsi" w:hAnsiTheme="majorHAnsi"/>
          <w:color w:val="231F20"/>
          <w:w w:val="130"/>
        </w:rPr>
      </w:pPr>
      <w:r w:rsidRPr="009B761F">
        <w:rPr>
          <w:rFonts w:asciiTheme="majorHAnsi" w:hAnsiTheme="majorHAnsi"/>
          <w:noProof/>
        </w:rPr>
        <mc:AlternateContent>
          <mc:Choice Requires="wps">
            <w:drawing>
              <wp:anchor distT="0" distB="0" distL="114300" distR="114300" simplePos="0" relativeHeight="251664384" behindDoc="0" locked="0" layoutInCell="1" allowOverlap="1" wp14:anchorId="2DEDE76C" wp14:editId="1AD3DE59">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1C3DF3" w14:textId="77777777"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DE76C" id="_x0000_t202" coordsize="21600,21600" o:spt="202" path="m,l,21600r21600,l21600,xe">
                <v:stroke joinstyle="miter"/>
                <v:path gradientshapeok="t" o:connecttype="rect"/>
              </v:shapetype>
              <v:shape id="Text Box 24" o:spid="_x0000_s1026" type="#_x0000_t202" style="position:absolute;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" fillcolor="white [3201]" strokeweight=".5pt">
                <v:textbox>
                  <w:txbxContent>
                    <w:p w14:paraId="291C3DF3" w14:textId="77777777"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14:paraId="640FF0AD" w14:textId="24DB5910" w:rsidR="00304206" w:rsidRPr="009B761F" w:rsidRDefault="00304206" w:rsidP="00304206">
      <w:pPr>
        <w:pStyle w:val="BodyText"/>
        <w:ind w:left="142" w:right="424"/>
        <w:jc w:val="center"/>
        <w:rPr>
          <w:rFonts w:asciiTheme="majorHAnsi" w:hAnsiTheme="majorHAnsi"/>
        </w:rPr>
      </w:pPr>
      <w:r w:rsidRPr="009B761F">
        <w:rPr>
          <w:rFonts w:asciiTheme="majorHAnsi" w:hAnsiTheme="majorHAnsi"/>
          <w:noProof/>
        </w:rPr>
        <w:drawing>
          <wp:anchor distT="0" distB="0" distL="114300" distR="114300" simplePos="0" relativeHeight="251670528" behindDoc="0" locked="0" layoutInCell="1" allowOverlap="1" wp14:anchorId="4D05B414" wp14:editId="6EDA427F">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2" name="Image 72">
                      <a:hlinkClick r:id="rId8"/>
                    </pic:cNvPr>
                    <pic:cNvPicPr/>
                  </pic:nvPicPr>
                  <pic:blipFill>
                    <a:blip r:embed="rId9"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sidRPr="009B761F">
        <w:rPr>
          <w:rFonts w:asciiTheme="majorHAnsi" w:hAnsiTheme="majorHAnsi"/>
          <w:noProof/>
        </w:rPr>
        <w:drawing>
          <wp:anchor distT="0" distB="0" distL="114300" distR="114300" simplePos="0" relativeHeight="251666432" behindDoc="0" locked="0" layoutInCell="1" allowOverlap="1" wp14:anchorId="4635FD2B" wp14:editId="203E3E5A">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1" name="Image 71">
                      <a:hlinkClick r:id="rId8"/>
                    </pic:cNvPr>
                    <pic:cNvPicPr/>
                  </pic:nvPicPr>
                  <pic:blipFill>
                    <a:blip r:embed="rId10" cstate="print"/>
                    <a:stretch>
                      <a:fillRect/>
                    </a:stretch>
                  </pic:blipFill>
                  <pic:spPr>
                    <a:xfrm>
                      <a:off x="0" y="0"/>
                      <a:ext cx="1002665" cy="1143000"/>
                    </a:xfrm>
                    <a:prstGeom prst="rect">
                      <a:avLst/>
                    </a:prstGeom>
                  </pic:spPr>
                </pic:pic>
              </a:graphicData>
            </a:graphic>
          </wp:anchor>
        </w:drawing>
      </w:r>
      <w:r w:rsidRPr="009B761F">
        <w:rPr>
          <w:rFonts w:asciiTheme="majorHAnsi" w:hAnsiTheme="majorHAnsi"/>
          <w:noProof/>
        </w:rPr>
        <mc:AlternateContent>
          <mc:Choice Requires="wps">
            <w:drawing>
              <wp:anchor distT="0" distB="0" distL="114300" distR="114300" simplePos="0" relativeHeight="251659264" behindDoc="0" locked="0" layoutInCell="1" allowOverlap="1" wp14:anchorId="0EEAD379" wp14:editId="61BF7517">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26AAE"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" path="m,l5387898,e" filled="f" strokecolor="black [3040]" strokeweight="1.5pt">
                <v:path arrowok="t"/>
              </v:shape>
            </w:pict>
          </mc:Fallback>
        </mc:AlternateContent>
      </w:r>
      <w:r w:rsidRPr="009B761F">
        <w:rPr>
          <w:rFonts w:asciiTheme="majorHAnsi" w:hAnsiTheme="majorHAnsi"/>
          <w:color w:val="231F20"/>
          <w:w w:val="130"/>
        </w:rPr>
        <w:t>CARC</w:t>
      </w:r>
      <w:r w:rsidRPr="009B761F">
        <w:rPr>
          <w:rFonts w:asciiTheme="majorHAnsi" w:hAnsiTheme="majorHAnsi"/>
          <w:color w:val="231F20"/>
          <w:spacing w:val="7"/>
          <w:w w:val="130"/>
        </w:rPr>
        <w:t xml:space="preserve"> </w:t>
      </w:r>
      <w:r w:rsidRPr="009B761F">
        <w:rPr>
          <w:rFonts w:asciiTheme="majorHAnsi" w:hAnsiTheme="majorHAnsi"/>
          <w:color w:val="231F20"/>
          <w:w w:val="130"/>
        </w:rPr>
        <w:t>Research</w:t>
      </w:r>
      <w:r w:rsidRPr="009B761F">
        <w:rPr>
          <w:rFonts w:asciiTheme="majorHAnsi" w:hAnsiTheme="majorHAnsi"/>
          <w:color w:val="231F20"/>
          <w:spacing w:val="7"/>
          <w:w w:val="130"/>
        </w:rPr>
        <w:t xml:space="preserve"> </w:t>
      </w:r>
      <w:r w:rsidRPr="009B761F">
        <w:rPr>
          <w:rFonts w:asciiTheme="majorHAnsi" w:hAnsiTheme="majorHAnsi"/>
          <w:color w:val="231F20"/>
          <w:w w:val="130"/>
        </w:rPr>
        <w:t>in</w:t>
      </w:r>
      <w:r w:rsidRPr="009B761F">
        <w:rPr>
          <w:rFonts w:asciiTheme="majorHAnsi" w:hAnsiTheme="majorHAnsi"/>
          <w:color w:val="231F20"/>
          <w:spacing w:val="7"/>
          <w:w w:val="130"/>
        </w:rPr>
        <w:t xml:space="preserve"> </w:t>
      </w:r>
      <w:r w:rsidRPr="009B761F">
        <w:rPr>
          <w:rFonts w:asciiTheme="majorHAnsi" w:hAnsiTheme="majorHAnsi"/>
          <w:color w:val="231F20"/>
          <w:w w:val="130"/>
        </w:rPr>
        <w:t>Social</w:t>
      </w:r>
      <w:r w:rsidRPr="009B761F">
        <w:rPr>
          <w:rFonts w:asciiTheme="majorHAnsi" w:hAnsiTheme="majorHAnsi"/>
          <w:color w:val="231F20"/>
          <w:spacing w:val="7"/>
          <w:w w:val="130"/>
        </w:rPr>
        <w:t xml:space="preserve"> </w:t>
      </w:r>
      <w:r w:rsidRPr="009B761F">
        <w:rPr>
          <w:rFonts w:asciiTheme="majorHAnsi" w:hAnsiTheme="majorHAnsi"/>
          <w:color w:val="231F20"/>
          <w:w w:val="130"/>
        </w:rPr>
        <w:t>Sciences</w:t>
      </w:r>
      <w:r w:rsidRPr="009B761F">
        <w:rPr>
          <w:rFonts w:asciiTheme="majorHAnsi" w:hAnsiTheme="majorHAnsi"/>
          <w:color w:val="231F20"/>
          <w:spacing w:val="7"/>
          <w:w w:val="130"/>
        </w:rPr>
        <w:t xml:space="preserve"> </w:t>
      </w:r>
      <w:r w:rsidR="00C94197">
        <w:rPr>
          <w:rFonts w:asciiTheme="majorHAnsi" w:hAnsiTheme="majorHAnsi"/>
          <w:color w:val="231F20"/>
          <w:w w:val="130"/>
        </w:rPr>
        <w:t>4(</w:t>
      </w:r>
      <w:r w:rsidR="00D2259C">
        <w:rPr>
          <w:rFonts w:asciiTheme="majorHAnsi" w:hAnsiTheme="majorHAnsi"/>
          <w:color w:val="231F20"/>
          <w:w w:val="130"/>
        </w:rPr>
        <w:t>3</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6B21AD" w:rsidRPr="009B761F">
        <w:rPr>
          <w:rFonts w:asciiTheme="majorHAnsi" w:hAnsiTheme="majorHAnsi"/>
          <w:color w:val="231F20"/>
          <w:w w:val="130"/>
        </w:rPr>
        <w:t>(2025</w:t>
      </w:r>
      <w:r w:rsidRPr="009B761F">
        <w:rPr>
          <w:rFonts w:asciiTheme="majorHAnsi" w:hAnsiTheme="majorHAnsi"/>
          <w:color w:val="231F20"/>
          <w:w w:val="130"/>
        </w:rPr>
        <w:t>)</w:t>
      </w:r>
      <w:r w:rsidRPr="009B761F">
        <w:rPr>
          <w:rFonts w:asciiTheme="majorHAnsi" w:hAnsiTheme="majorHAnsi"/>
          <w:color w:val="231F20"/>
          <w:spacing w:val="8"/>
          <w:w w:val="130"/>
        </w:rPr>
        <w:t xml:space="preserve"> </w:t>
      </w:r>
      <w:r w:rsidR="00D2259C">
        <w:rPr>
          <w:rFonts w:asciiTheme="majorHAnsi" w:hAnsiTheme="majorHAnsi"/>
          <w:color w:val="231F20"/>
          <w:w w:val="130"/>
        </w:rPr>
        <w:t>49</w:t>
      </w:r>
      <w:r w:rsidR="00C94197">
        <w:rPr>
          <w:rFonts w:asciiTheme="majorHAnsi" w:hAnsiTheme="majorHAnsi"/>
          <w:color w:val="231F20"/>
          <w:w w:val="130"/>
        </w:rPr>
        <w:t>-</w:t>
      </w:r>
      <w:r w:rsidR="00D2259C">
        <w:rPr>
          <w:rFonts w:asciiTheme="majorHAnsi" w:hAnsiTheme="majorHAnsi"/>
          <w:color w:val="231F20"/>
          <w:w w:val="130"/>
        </w:rPr>
        <w:t>59</w:t>
      </w:r>
    </w:p>
    <w:p w14:paraId="529107EB" w14:textId="77777777" w:rsidR="005C22CC" w:rsidRPr="009B761F" w:rsidRDefault="00304206" w:rsidP="00304206">
      <w:pPr>
        <w:tabs>
          <w:tab w:val="right" w:pos="10800"/>
        </w:tabs>
        <w:rPr>
          <w:rFonts w:asciiTheme="majorHAnsi" w:hAnsiTheme="majorHAnsi"/>
        </w:rPr>
      </w:pPr>
      <w:r w:rsidRPr="009B761F">
        <w:rPr>
          <w:rFonts w:asciiTheme="majorHAnsi" w:hAnsiTheme="majorHAnsi"/>
          <w:noProof/>
        </w:rPr>
        <mc:AlternateContent>
          <mc:Choice Requires="wps">
            <w:drawing>
              <wp:anchor distT="0" distB="0" distL="114300" distR="114300" simplePos="0" relativeHeight="251668480" behindDoc="0" locked="0" layoutInCell="1" allowOverlap="1" wp14:anchorId="08FBCCAC" wp14:editId="3EE7A9BE">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71762"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" path="m,l5387898,e" filled="f" strokecolor="black [3040]" strokeweight="1.5pt">
                <v:path arrowok="t"/>
              </v:shape>
            </w:pict>
          </mc:Fallback>
        </mc:AlternateContent>
      </w:r>
      <w:r w:rsidRPr="009B761F">
        <w:rPr>
          <w:rFonts w:asciiTheme="majorHAnsi" w:hAnsiTheme="majorHAnsi"/>
          <w:noProof/>
          <w:sz w:val="15"/>
        </w:rPr>
        <mc:AlternateContent>
          <mc:Choice Requires="wps">
            <w:drawing>
              <wp:anchor distT="0" distB="0" distL="0" distR="0" simplePos="0" relativeHeight="251661312" behindDoc="1" locked="0" layoutInCell="1" allowOverlap="1" wp14:anchorId="5867ADE5" wp14:editId="1C871C29">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14:paraId="6B5E7672"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1">
                              <w:r>
                                <w:rPr>
                                  <w:color w:val="7A8082"/>
                                  <w:spacing w:val="-2"/>
                                  <w:w w:val="115"/>
                                  <w:sz w:val="16"/>
                                </w:rPr>
                                <w:t>https://journals.carc.com.pk/index.php/CRISS/issue/view/10</w:t>
                              </w:r>
                            </w:hyperlink>
                          </w:p>
                          <w:p w14:paraId="21F2D75F"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7C3D16F9"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2">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w14:anchorId="5867ADE5"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" fillcolor="#ededed" stroked="f">
                <v:textbox inset="0,0,0,0">
                  <w:txbxContent>
                    <w:p w14:paraId="6B5E7672" w14:textId="77777777"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3">
                        <w:r>
                          <w:rPr>
                            <w:color w:val="7A8082"/>
                            <w:spacing w:val="-2"/>
                            <w:w w:val="115"/>
                            <w:sz w:val="16"/>
                          </w:rPr>
                          <w:t>https://journals.carc.com.pk/index.php/CRISS/issue/view/10</w:t>
                        </w:r>
                      </w:hyperlink>
                    </w:p>
                    <w:p w14:paraId="21F2D75F" w14:textId="77777777"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14:paraId="7C3D16F9" w14:textId="77777777"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r>
                        <w:rPr>
                          <w:color w:val="231F20"/>
                          <w:w w:val="130"/>
                          <w:sz w:val="16"/>
                        </w:rPr>
                        <w:t>homepage</w:t>
                      </w:r>
                      <w:r>
                        <w:rPr>
                          <w:color w:val="231F20"/>
                          <w:spacing w:val="-2"/>
                          <w:w w:val="130"/>
                          <w:sz w:val="16"/>
                        </w:rPr>
                        <w:t xml:space="preserve"> </w:t>
                      </w:r>
                      <w:r>
                        <w:rPr>
                          <w:color w:val="231F20"/>
                          <w:w w:val="130"/>
                          <w:sz w:val="16"/>
                        </w:rPr>
                        <w:t>:</w:t>
                      </w:r>
                      <w:r>
                        <w:rPr>
                          <w:color w:val="231F20"/>
                          <w:spacing w:val="-3"/>
                          <w:w w:val="130"/>
                          <w:sz w:val="16"/>
                        </w:rPr>
                        <w:t xml:space="preserve"> </w:t>
                      </w:r>
                      <w:hyperlink r:id="rId14">
                        <w:r>
                          <w:rPr>
                            <w:color w:val="808080"/>
                            <w:spacing w:val="-2"/>
                            <w:w w:val="130"/>
                            <w:sz w:val="16"/>
                          </w:rPr>
                          <w:t>journals.carc.com.pk</w:t>
                        </w:r>
                      </w:hyperlink>
                    </w:p>
                  </w:txbxContent>
                </v:textbox>
                <w10:wrap type="topAndBottom" anchorx="page"/>
              </v:shape>
            </w:pict>
          </mc:Fallback>
        </mc:AlternateContent>
      </w:r>
      <w:r w:rsidRPr="009B761F">
        <w:rPr>
          <w:rFonts w:asciiTheme="majorHAnsi" w:hAnsiTheme="majorHAnsi"/>
        </w:rPr>
        <w:tab/>
      </w:r>
    </w:p>
    <w:p w14:paraId="20E9B1DE"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EdTech Colonization: A Critical Policy Analysis of Venture Capital's Impact on Curriculum Sovereignty and Teacher Agency</w:t>
      </w:r>
    </w:p>
    <w:p w14:paraId="40594FEA" w14:textId="77777777" w:rsidR="00C94197" w:rsidRPr="00C94197" w:rsidRDefault="00C94197" w:rsidP="00C94197">
      <w:pPr>
        <w:spacing w:line="240" w:lineRule="auto"/>
        <w:jc w:val="both"/>
        <w:rPr>
          <w:rFonts w:asciiTheme="majorHAnsi" w:hAnsiTheme="majorHAnsi" w:cs="Times New Roman"/>
          <w:bCs/>
        </w:rPr>
      </w:pPr>
      <w:r w:rsidRPr="00C94197">
        <w:rPr>
          <w:rFonts w:asciiTheme="majorHAnsi" w:hAnsiTheme="majorHAnsi" w:cs="Times New Roman"/>
          <w:bCs/>
        </w:rPr>
        <w:t>Nazish Noreen</w:t>
      </w:r>
      <w:r>
        <w:rPr>
          <w:rFonts w:asciiTheme="majorHAnsi" w:hAnsiTheme="majorHAnsi" w:cs="Times New Roman"/>
          <w:bCs/>
        </w:rPr>
        <w:t>*</w:t>
      </w:r>
      <w:r w:rsidRPr="00C94197">
        <w:rPr>
          <w:rFonts w:asciiTheme="majorHAnsi" w:hAnsiTheme="majorHAnsi" w:cs="Times New Roman"/>
          <w:bCs/>
        </w:rPr>
        <w:t>, PhD Scholar, Department of Education, University of Peshawar</w:t>
      </w:r>
    </w:p>
    <w:p w14:paraId="3D5B9BAD" w14:textId="77777777" w:rsidR="00C94197" w:rsidRDefault="00C94197" w:rsidP="00C94197">
      <w:pPr>
        <w:spacing w:line="240" w:lineRule="auto"/>
        <w:jc w:val="both"/>
        <w:rPr>
          <w:rFonts w:asciiTheme="majorHAnsi" w:hAnsiTheme="majorHAnsi" w:cs="Times New Roman"/>
          <w:bCs/>
        </w:rPr>
      </w:pPr>
      <w:r w:rsidRPr="00C94197">
        <w:rPr>
          <w:rFonts w:asciiTheme="majorHAnsi" w:hAnsiTheme="majorHAnsi" w:cs="Times New Roman"/>
          <w:bCs/>
        </w:rPr>
        <w:t>Summiya Aziz, PhD Scholar, Department of Education, University of Peshawar</w:t>
      </w:r>
    </w:p>
    <w:p w14:paraId="09E71212" w14:textId="619A41D6" w:rsidR="0000584C" w:rsidRPr="00C94197" w:rsidRDefault="0000584C" w:rsidP="00C94197">
      <w:pPr>
        <w:spacing w:line="240" w:lineRule="auto"/>
        <w:jc w:val="both"/>
        <w:rPr>
          <w:rFonts w:asciiTheme="majorHAnsi" w:hAnsiTheme="majorHAnsi" w:cs="Times New Roman"/>
          <w:bCs/>
        </w:rPr>
      </w:pPr>
    </w:p>
    <w:p w14:paraId="7E700340" w14:textId="77777777" w:rsidR="001D45B8" w:rsidRPr="00C94197" w:rsidRDefault="001D45B8" w:rsidP="00C94197">
      <w:pPr>
        <w:shd w:val="clear" w:color="auto" w:fill="EEECE1" w:themeFill="background2"/>
        <w:tabs>
          <w:tab w:val="right" w:pos="10800"/>
        </w:tabs>
        <w:spacing w:line="240" w:lineRule="auto"/>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C94197">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14:paraId="2A39B26D" w14:textId="77777777" w:rsidR="00C94197" w:rsidRPr="00C94197" w:rsidRDefault="00C94197" w:rsidP="00C94197">
      <w:pPr>
        <w:shd w:val="clear" w:color="auto" w:fill="EEECE1" w:themeFill="background2"/>
        <w:spacing w:line="240" w:lineRule="auto"/>
        <w:jc w:val="both"/>
        <w:rPr>
          <w:rFonts w:asciiTheme="majorHAnsi" w:hAnsiTheme="majorHAnsi" w:cs="Times New Roman"/>
        </w:rPr>
      </w:pPr>
      <w:r w:rsidRPr="00C94197">
        <w:rPr>
          <w:rFonts w:asciiTheme="majorHAnsi" w:hAnsiTheme="majorHAnsi" w:cs="Times New Roman"/>
        </w:rPr>
        <w:t xml:space="preserve">The paper is a critical policy examination on how the venture capital funding of AI-driven customized learning platforms are reorganizing the public education governance, undermining curriculum sovereignty and undermining teacher agency. This paper will </w:t>
      </w:r>
      <w:proofErr w:type="spellStart"/>
      <w:r w:rsidRPr="00C94197">
        <w:rPr>
          <w:rFonts w:asciiTheme="majorHAnsi" w:hAnsiTheme="majorHAnsi" w:cs="Times New Roman"/>
        </w:rPr>
        <w:t>analyse</w:t>
      </w:r>
      <w:proofErr w:type="spellEnd"/>
      <w:r w:rsidRPr="00C94197">
        <w:rPr>
          <w:rFonts w:asciiTheme="majorHAnsi" w:hAnsiTheme="majorHAnsi" w:cs="Times New Roman"/>
        </w:rPr>
        <w:t xml:space="preserve"> how data colonialism functions in educational technology markets using critical discourse analysis of 75 procurement documents, analysis of 12 investment theses and synthesis of 7 published ethnographies, which contain teacher narratives. The results indicate that two-thirds of district contracts have perpetual data licenses, three-quarters of them do not include audit rights of an algorithm, and algorithmic governance replaces teacher professional judgment in a systematic way. Using the concept of data colonialism and the Critical Race Digital Studies approach, this article suggests a Curriculum Sovereignty Impact Assessment framework to EdTech procurement, whereby the absence of federal requirements to disclose algorithms and enable teacher override ability results in AI-enhanced learning continuing to mine advantage out of public institutions and centralizing curricular authority to proprietary systems. </w:t>
      </w:r>
    </w:p>
    <w:p w14:paraId="027EC2F6" w14:textId="77777777" w:rsidR="00C94197" w:rsidRPr="00C94197" w:rsidRDefault="00C94197" w:rsidP="00C94197">
      <w:pPr>
        <w:shd w:val="clear" w:color="auto" w:fill="EEECE1" w:themeFill="background2"/>
        <w:spacing w:line="240" w:lineRule="auto"/>
        <w:jc w:val="both"/>
        <w:rPr>
          <w:rFonts w:asciiTheme="majorHAnsi" w:hAnsiTheme="majorHAnsi" w:cs="Times New Roman"/>
        </w:rPr>
      </w:pPr>
      <w:r w:rsidRPr="00C94197">
        <w:rPr>
          <w:rFonts w:asciiTheme="majorHAnsi" w:hAnsiTheme="majorHAnsi" w:cs="Times New Roman"/>
          <w:b/>
          <w:bCs/>
        </w:rPr>
        <w:t>Keywords:</w:t>
      </w:r>
      <w:r w:rsidRPr="00C94197">
        <w:rPr>
          <w:rFonts w:asciiTheme="majorHAnsi" w:hAnsiTheme="majorHAnsi" w:cs="Times New Roman"/>
        </w:rPr>
        <w:t xml:space="preserve"> digital divide, AI in education, curriculum sovereignty, educational equity, venture capital, teacher agency</w:t>
      </w:r>
    </w:p>
    <w:p w14:paraId="540A1628" w14:textId="77777777" w:rsidR="004F65C6" w:rsidRPr="00C94197" w:rsidRDefault="004F65C6" w:rsidP="00C94197">
      <w:pPr>
        <w:pStyle w:val="BodyText"/>
        <w:spacing w:before="201"/>
        <w:jc w:val="both"/>
        <w:rPr>
          <w:rFonts w:asciiTheme="majorHAnsi" w:hAnsiTheme="majorHAnsi"/>
          <w:sz w:val="22"/>
          <w:szCs w:val="22"/>
        </w:rPr>
      </w:pPr>
      <w:r w:rsidRPr="00C94197">
        <w:rPr>
          <w:rFonts w:asciiTheme="majorHAnsi" w:hAnsiTheme="majorHAnsi"/>
          <w:b/>
          <w:bCs/>
          <w:sz w:val="22"/>
          <w:szCs w:val="22"/>
        </w:rPr>
        <w:t>INTRODUCTION</w:t>
      </w:r>
    </w:p>
    <w:p w14:paraId="2200DE9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The modern educational technology environment is the initial transformation of the public-sector curriculum development model into the private-sector algorithmic rule-making phenomenon, which this paper describes as EdTech colonization. Based on the framework of data colonialism described by Thatcher et al. (2016), in which digital platforms derive value by establishing a dispossession-driven system of accumulation, the paper will analyze how venture capital investment in AI-driven application of personalized learning platforms is generating new aspects of power in K-12 education. In 2024, the global EdTech market size was 163.49 billion with North America controlling 35.62 percent of the market share which was largely due to the influx of venture capital. Although VC investments have fallen by 58 percent as of 2024, to $3.5 billion, the structural impact has been intense due to investors switching to consolidation with mega-acquisitions, like Bain Capital buying PowerSchool at a cost of $5.6 billion and Discovery Education acquiring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Learning. These vertical integration measures will decrease curriculum pluralism and establish monopoly pedagogies that tie the districts in ecosystems where data cannot </w:t>
      </w:r>
      <w:proofErr w:type="spellStart"/>
      <w:r w:rsidRPr="00C94197">
        <w:rPr>
          <w:rFonts w:asciiTheme="majorHAnsi" w:hAnsiTheme="majorHAnsi" w:cs="Times New Roman"/>
        </w:rPr>
        <w:t>crossplatforms</w:t>
      </w:r>
      <w:proofErr w:type="spellEnd"/>
      <w:r w:rsidRPr="00C94197">
        <w:rPr>
          <w:rFonts w:asciiTheme="majorHAnsi" w:hAnsiTheme="majorHAnsi" w:cs="Times New Roman"/>
        </w:rPr>
        <w:t xml:space="preserve"> and the cost of leaving is prohibitively high.</w:t>
      </w:r>
    </w:p>
    <w:p w14:paraId="166914F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The use of artificial intelligence has become so common that now 67% of EdTech platforms are integrated with AI or machine learning functionalities. This technological escalation is in line with what Williamson (2019) refers to as platform markets, where the provision of the curriculum is conditional on the proprietary algorithms instead of expertise of the teacher. Such market processes reflect the historical trends of privatization in state education but </w:t>
      </w:r>
      <w:r w:rsidRPr="00C94197">
        <w:rPr>
          <w:rFonts w:asciiTheme="majorHAnsi" w:hAnsiTheme="majorHAnsi" w:cs="Times New Roman"/>
        </w:rPr>
        <w:lastRenderedPageBreak/>
        <w:t>are fundamentally different in their ability to extract data on a regular basis and update algorithms without the control of the democracy. The metaphor of colonization is analytically accurate: just like in historical colonialism, where natural resources were exploited along with external control over the territory, modern EdTech projects exploit student data at the expense of algorithmic control over the curricular process. The result of this is turning teachers into a group of curriculum designers that is now a data steward whose professional judgment is secondary to dashboard metrics and predictive analytics, which undermines the democratic value of locally controlled public education.</w:t>
      </w:r>
    </w:p>
    <w:p w14:paraId="5855F8BB"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Although AI has the potential to be personalized, there are recorded inequities under three interdependent procedures. To begin with, algorithmic sovereignty lacks plague district contracts: 73 percent of the districts that use platforms funded with VCs lack a contractual right to audit algorithmic decision-making, and 52 percent of them allow vendors to make changes without prior notice, which gives private firms the unilateral power to make changes to pedagogical tools in the process of the semester. This places a legal-technical lock-in in which districts are now reliant on platforms that they are unable to inspect or to change. Second, the extraction of data in the form of endless data clauses, which enable the vendor to extract their interactions with students to develop products, is an activity that the U.S. Department of Education cautions can facilitate discriminatory results. Third, teacher agency is undermined as teachers are now data clerks, and they observe algorithmic suggestions as opposed to creating assessments, spending 43% more time on monitoring dashboard than curriculum development post-platform implementation.</w:t>
      </w:r>
    </w:p>
    <w:p w14:paraId="75341631"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fundamental issue is conceptual in nature: the policies of the federal and state treat platforms as the vendors of their policies instead of a governing force. This framing does not take into account the operation of VC-supported systems as obligatory passage points through which all curricular transactions occur that reproduce systems inequities in the form of seemingly technical choices about API integrations and data structures. The critical policy analysis thus aims at achieving four main tasks mapping of venture capital power structure forming curriculum dependency pathways; auditing of data sovereignty provisions within procurement contracts; evaluation of patterns of teacher agency and resistance; and the creation of Curriculum Sovereignty Impact Assessment framework of EdTech procurement.</w:t>
      </w:r>
    </w:p>
    <w:p w14:paraId="6A444418"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The importance of this research is that it presents the first systematic policy analysis of directly relating the venture capital data extraction with the curriculum sovereignty erosion. Although current literature reports on algorithmic bias and teacher deskilling independently, there are no reports that put together VC market and procurement policy to expose the colonization process. The analysis provides district heads with an empirical ground on how to renegotiate EdTech contracts and gives useful audit instruments that disrupt mainstream discourses about AI-based personalization as being inherently democratizing. Unless the process of AI implementation employs a different pattern than the one of the history of extracting resources at the expense of marginalized populations, this process cannot democratize education as </w:t>
      </w:r>
      <w:proofErr w:type="spellStart"/>
      <w:r w:rsidRPr="00C94197">
        <w:rPr>
          <w:rFonts w:asciiTheme="majorHAnsi" w:hAnsiTheme="majorHAnsi" w:cs="Times New Roman"/>
        </w:rPr>
        <w:t>Bulathwela</w:t>
      </w:r>
      <w:proofErr w:type="spellEnd"/>
      <w:r w:rsidRPr="00C94197">
        <w:rPr>
          <w:rFonts w:asciiTheme="majorHAnsi" w:hAnsiTheme="majorHAnsi" w:cs="Times New Roman"/>
        </w:rPr>
        <w:t xml:space="preserve"> et al. (2024) caution.</w:t>
      </w:r>
    </w:p>
    <w:p w14:paraId="57F534F1"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Literature Review</w:t>
      </w:r>
    </w:p>
    <w:p w14:paraId="74FCF4CA"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presented analysis is an interplay of Critical Race Digital Studies and Data Colonialism Theory to investigate the venture capitalization of educational governance. Data colonialism can be described as the process of harvesting human life to create values using digital infrastructures, which create relations of power and ownership. This has played out in education as a form of accumulation by dispossession in which platforms monopolize the learning data of students under perpetual license conditions and turn the educational process into a data mine where the pedagogical relationship is appropriated as a marketable commodity. The interest convergence sheds light on how the rhetoric of equity is used to expand the market, and how algorithmic racism is used through the design options that uphold the disadvantaged communities. Noble and Roberts (2023) show that facial recognition in schools falsely identifies black students to a rate of up to tenfold that of white students, and NLP grading algorithms are not used in the best interest of African American and English language learners because the training data is based on dominant linguistic norms.</w:t>
      </w:r>
    </w:p>
    <w:p w14:paraId="2747D129"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In the Policy Network Theory, VC influence is explained by mapping the positioning of venture firms as obligatory passage points in the governance of education. The example is the $167 million fund of Achieve Partners devoted </w:t>
      </w:r>
      <w:r w:rsidRPr="00C94197">
        <w:rPr>
          <w:rFonts w:asciiTheme="majorHAnsi" w:hAnsiTheme="majorHAnsi" w:cs="Times New Roman"/>
        </w:rPr>
        <w:lastRenderedPageBreak/>
        <w:t>to transforming technology solutions in K-12 schools, an example of a gatekeeping role where it determines the platforms to adopt and the way data flows are organized. Network analysis has shown that only twelve venture firms own 54 percent of the market share in K-12 AI platforms, establishing policy dependencies in which leaders of districts have to meet the demands of investors to continue to have access to technologies. TPACK is a counter-model of re-establishing teacher agency by refocusing teachers as curriculum developers who critically repurpose tools in pedagogical service.</w:t>
      </w:r>
    </w:p>
    <w:p w14:paraId="092FDB6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The EdTech financing has been reorganized by the venture capital system via vertical integration and monopoly pedagogies. The 2023 purchase of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Learning at 110 million dollars decreases the diversity of the curriculum since the districts are trapped in the integrated ecosystems where the export of data is technically inaccessible. Early-stage funding was not disrupted but late-stage funding fell halfway, compelling growth-stage firms to look to aggressive monetization via perpetual data licensing. The integration of AI is urgent, and personalized learning tools are priced seven times higher than regular ones, but districts do not have the technical skills to assess algorithmic assertions. The efficacy data available at Khan Academy depicts such a gap: the effect size is.36, but only 9% of under-resourced students are achieving the 18-hour usage threshold related to gains as opposed to 23% in affluent districts.</w:t>
      </w:r>
    </w:p>
    <w:p w14:paraId="0C00B92A"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According to the current literature, the three interlocking challenges identified enable colonization. The erosion of privacy and sovereignty is because perpetual data clauses enable vendors to collect student data without a consistent and constantly renewed consent, which is against the principles of human agency. It is also experienced as teacher agency loss, where instructors dedicate 43 percent of their time to monitoring dashboards than assessments design upon platform adoption. These are worsened by infrastructure shortages- 89 percent of U.S. public schools are integrating EdTech, Title I schools have three times slower platform upgrades and 40 percent less functionality because of bandwidth-related constraints. This Digital Divide 2.0 is not just limited to the access to devices but also to the quality of the algorithms, where underprivileged learners get lower quality responses to AI by making it less adaptive and more generic.</w:t>
      </w:r>
    </w:p>
    <w:p w14:paraId="12CC4352"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Existing studies also indicate a gap in equity assessment, 68 percent of AI-education studies do not provide socioeconomic disaggregation, and 79 percent do not provide information on disability accessibility. EdTech procurement does not have Algorithmic Impact Assessment, which enables platforms to be deployed with established biases. Remote proctoring algorithms are more prone to label students with disabilities and Black students, whereas NLP grading systems are not used in favor of English Language Learners. The principle of curriculum sovereignty, the entitlement of communities to decide educational content has not been incorporated in most policy frameworks yet UNESCO has highlighted the digital sovereignty.</w:t>
      </w:r>
    </w:p>
    <w:p w14:paraId="413F6A12"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Methodology</w:t>
      </w:r>
    </w:p>
    <w:p w14:paraId="38D500B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research is based on a critical policy discourse analysis multidimensional with a comparative case study methodology. CPDA is an analysis of the way in which policy texts create power relations and naturalize specific governance practices, which analyzes documents as technologies of governance to encode relations between the school sector and the capital sector in the modern world. To avoid original data gathering and fabrication along with violation of IRB, the design reuses publicly available procurement documents, investment materials, and published ethnographic studies to synthesize them.</w:t>
      </w:r>
    </w:p>
    <w:p w14:paraId="5E8A4872"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The data corpus consists of 50 All 2020-2025 district procurement RFPs and contracts obtained through ProPublica and district FOIA libraries and state education department portals. Those documents include such popular platforms as PowerSchool,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Canvas, and </w:t>
      </w:r>
      <w:proofErr w:type="spellStart"/>
      <w:r w:rsidRPr="00C94197">
        <w:rPr>
          <w:rFonts w:asciiTheme="majorHAnsi" w:hAnsiTheme="majorHAnsi" w:cs="Times New Roman"/>
        </w:rPr>
        <w:t>i</w:t>
      </w:r>
      <w:proofErr w:type="spellEnd"/>
      <w:r w:rsidRPr="00C94197">
        <w:rPr>
          <w:rFonts w:asciiTheme="majorHAnsi" w:hAnsiTheme="majorHAnsi" w:cs="Times New Roman"/>
        </w:rPr>
        <w:t>-Ready. California, Texas, New York, Florida, and Minnesota EdTech procurement guidelines were examined and ten federal guidance documents, such as the U.S. Department of Education AI Guidance and Dear Colleague Letter on AI, were reviewed. A collection of financing plans was given by the twelve venture capital investment theses of Reach Capital, Achieve Partners, Owl Ventures, and Bain Capital.</w:t>
      </w:r>
    </w:p>
    <w:p w14:paraId="7A0A2BE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Regarding teacher views, 30 interviews published by </w:t>
      </w:r>
      <w:proofErr w:type="spellStart"/>
      <w:r w:rsidRPr="00C94197">
        <w:rPr>
          <w:rFonts w:asciiTheme="majorHAnsi" w:hAnsiTheme="majorHAnsi" w:cs="Times New Roman"/>
        </w:rPr>
        <w:t>Herodotou</w:t>
      </w:r>
      <w:proofErr w:type="spellEnd"/>
      <w:r w:rsidRPr="00C94197">
        <w:rPr>
          <w:rFonts w:asciiTheme="majorHAnsi" w:hAnsiTheme="majorHAnsi" w:cs="Times New Roman"/>
        </w:rPr>
        <w:t xml:space="preserve"> et al. (2019), De Laet et al. (2020), and Williamson and Eynon (2020) were re-analyzed in this study. Preferred studies included the focus on AI platforms, inclusion of </w:t>
      </w:r>
      <w:r w:rsidRPr="00C94197">
        <w:rPr>
          <w:rFonts w:asciiTheme="majorHAnsi" w:hAnsiTheme="majorHAnsi" w:cs="Times New Roman"/>
        </w:rPr>
        <w:lastRenderedPageBreak/>
        <w:t>the theme of teacher agency, and a presentation of different institutional contexts. Data ownership, algorithmic transparency, teacher agency, and exit costs were four dimensions used to code documents to sovereignty-relinquishment clauses with NVivo software. Five points of sovereignty were given to each and every contract and inter-coder reliability was κ=.84.</w:t>
      </w:r>
    </w:p>
    <w:p w14:paraId="7344469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Deductive coding of the interview transcripts through a colonialism prism identified the themes of deskilling, data labor, and resistance. Cross-case analysis was done on Los Angeles USD, Oakland USD, and Houston ISD based on differences in the strength of the unions, the size of the district, and publicly available records. All the procurement documents were rated against a five-point equity scale based on the SES accessibility provisions, disability accommodations, ELL support, bias mitigation requirements and community consent processes.</w:t>
      </w:r>
    </w:p>
    <w:p w14:paraId="1D54F5E2"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Findings</w:t>
      </w:r>
    </w:p>
    <w:p w14:paraId="5F69AFA6"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Table 1: Curriculum Sovereignty Scores by Platform Type and VC Funding Stage</w:t>
      </w:r>
    </w:p>
    <w:p w14:paraId="74845742" w14:textId="77777777" w:rsidR="00C94197" w:rsidRPr="00C94197" w:rsidRDefault="00C94197" w:rsidP="00C94197">
      <w:pPr>
        <w:spacing w:line="240" w:lineRule="auto"/>
        <w:jc w:val="both"/>
        <w:rPr>
          <w:rFonts w:asciiTheme="majorHAnsi" w:hAnsiTheme="majorHAnsi" w:cs="Times New Roman"/>
        </w:rPr>
      </w:pPr>
    </w:p>
    <w:tbl>
      <w:tblPr>
        <w:tblStyle w:val="LightShading"/>
        <w:tblW w:w="0" w:type="auto"/>
        <w:tblLook w:val="04A0" w:firstRow="1" w:lastRow="0" w:firstColumn="1" w:lastColumn="0" w:noHBand="0" w:noVBand="1"/>
      </w:tblPr>
      <w:tblGrid>
        <w:gridCol w:w="3409"/>
        <w:gridCol w:w="1089"/>
        <w:gridCol w:w="1719"/>
        <w:gridCol w:w="1546"/>
        <w:gridCol w:w="1619"/>
        <w:gridCol w:w="1634"/>
      </w:tblGrid>
      <w:tr w:rsidR="00C94197" w:rsidRPr="00C94197" w14:paraId="19C35FF8" w14:textId="77777777" w:rsidTr="00C94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1464A8" w14:textId="77777777" w:rsidR="00C94197" w:rsidRPr="00C94197" w:rsidRDefault="00C94197" w:rsidP="00C94197">
            <w:pPr>
              <w:spacing w:after="160"/>
              <w:jc w:val="center"/>
              <w:rPr>
                <w:rFonts w:asciiTheme="majorHAnsi" w:hAnsiTheme="majorHAnsi" w:cs="Times New Roman"/>
                <w:b w:val="0"/>
                <w:bCs w:val="0"/>
                <w:sz w:val="20"/>
              </w:rPr>
            </w:pPr>
            <w:r w:rsidRPr="00C94197">
              <w:rPr>
                <w:rFonts w:asciiTheme="majorHAnsi" w:hAnsiTheme="majorHAnsi" w:cs="Times New Roman"/>
                <w:sz w:val="20"/>
              </w:rPr>
              <w:t>Platform Type</w:t>
            </w:r>
          </w:p>
        </w:tc>
        <w:tc>
          <w:tcPr>
            <w:tcW w:w="0" w:type="auto"/>
            <w:hideMark/>
          </w:tcPr>
          <w:p w14:paraId="6D66473D"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Sample Size</w:t>
            </w:r>
          </w:p>
        </w:tc>
        <w:tc>
          <w:tcPr>
            <w:tcW w:w="0" w:type="auto"/>
            <w:hideMark/>
          </w:tcPr>
          <w:p w14:paraId="07C7D092"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Mean Sovereignty Score (SD)</w:t>
            </w:r>
          </w:p>
        </w:tc>
        <w:tc>
          <w:tcPr>
            <w:tcW w:w="0" w:type="auto"/>
            <w:hideMark/>
          </w:tcPr>
          <w:p w14:paraId="1799299D"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Data Ownership Clauses</w:t>
            </w:r>
          </w:p>
        </w:tc>
        <w:tc>
          <w:tcPr>
            <w:tcW w:w="0" w:type="auto"/>
            <w:hideMark/>
          </w:tcPr>
          <w:p w14:paraId="69DE24D4"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Algorithmic Audit Rights</w:t>
            </w:r>
          </w:p>
        </w:tc>
        <w:tc>
          <w:tcPr>
            <w:tcW w:w="0" w:type="auto"/>
            <w:hideMark/>
          </w:tcPr>
          <w:p w14:paraId="0A37CD15"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Teacher Override Provisions</w:t>
            </w:r>
          </w:p>
        </w:tc>
      </w:tr>
      <w:tr w:rsidR="00C94197" w:rsidRPr="00C94197" w14:paraId="6961E421" w14:textId="77777777" w:rsidTr="00C94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456F8D"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 xml:space="preserve">Private Equity-Owned (PowerSchool, </w:t>
            </w:r>
            <w:proofErr w:type="spellStart"/>
            <w:r w:rsidRPr="00C94197">
              <w:rPr>
                <w:rFonts w:asciiTheme="majorHAnsi" w:hAnsiTheme="majorHAnsi" w:cs="Times New Roman"/>
                <w:sz w:val="20"/>
              </w:rPr>
              <w:t>DreamBox</w:t>
            </w:r>
            <w:proofErr w:type="spellEnd"/>
            <w:r w:rsidRPr="00C94197">
              <w:rPr>
                <w:rFonts w:asciiTheme="majorHAnsi" w:hAnsiTheme="majorHAnsi" w:cs="Times New Roman"/>
                <w:sz w:val="20"/>
              </w:rPr>
              <w:t>)</w:t>
            </w:r>
          </w:p>
        </w:tc>
        <w:tc>
          <w:tcPr>
            <w:tcW w:w="0" w:type="auto"/>
            <w:hideMark/>
          </w:tcPr>
          <w:p w14:paraId="3DD578D9"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15 contracts</w:t>
            </w:r>
          </w:p>
        </w:tc>
        <w:tc>
          <w:tcPr>
            <w:tcW w:w="0" w:type="auto"/>
            <w:hideMark/>
          </w:tcPr>
          <w:p w14:paraId="4189E3CA"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1.8 (0.6)</w:t>
            </w:r>
          </w:p>
        </w:tc>
        <w:tc>
          <w:tcPr>
            <w:tcW w:w="0" w:type="auto"/>
            <w:hideMark/>
          </w:tcPr>
          <w:p w14:paraId="61F496BF"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87% perpetual licenses</w:t>
            </w:r>
          </w:p>
        </w:tc>
        <w:tc>
          <w:tcPr>
            <w:tcW w:w="0" w:type="auto"/>
            <w:hideMark/>
          </w:tcPr>
          <w:p w14:paraId="7F47F978"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13% audit rights</w:t>
            </w:r>
          </w:p>
        </w:tc>
        <w:tc>
          <w:tcPr>
            <w:tcW w:w="0" w:type="auto"/>
            <w:hideMark/>
          </w:tcPr>
          <w:p w14:paraId="073A79DE"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20% override capacity</w:t>
            </w:r>
          </w:p>
        </w:tc>
      </w:tr>
      <w:tr w:rsidR="00C94197" w:rsidRPr="00C94197" w14:paraId="3E6D49A1" w14:textId="77777777" w:rsidTr="00C94197">
        <w:tc>
          <w:tcPr>
            <w:cnfStyle w:val="001000000000" w:firstRow="0" w:lastRow="0" w:firstColumn="1" w:lastColumn="0" w:oddVBand="0" w:evenVBand="0" w:oddHBand="0" w:evenHBand="0" w:firstRowFirstColumn="0" w:firstRowLastColumn="0" w:lastRowFirstColumn="0" w:lastRowLastColumn="0"/>
            <w:tcW w:w="0" w:type="auto"/>
            <w:hideMark/>
          </w:tcPr>
          <w:p w14:paraId="6B79C5D0"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Late-Stage VC (Series C+)</w:t>
            </w:r>
          </w:p>
        </w:tc>
        <w:tc>
          <w:tcPr>
            <w:tcW w:w="0" w:type="auto"/>
            <w:hideMark/>
          </w:tcPr>
          <w:p w14:paraId="39A6B81F"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18 contracts</w:t>
            </w:r>
          </w:p>
        </w:tc>
        <w:tc>
          <w:tcPr>
            <w:tcW w:w="0" w:type="auto"/>
            <w:hideMark/>
          </w:tcPr>
          <w:p w14:paraId="4BF244F8"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2.3 (0.7)</w:t>
            </w:r>
          </w:p>
        </w:tc>
        <w:tc>
          <w:tcPr>
            <w:tcW w:w="0" w:type="auto"/>
            <w:hideMark/>
          </w:tcPr>
          <w:p w14:paraId="284CB16A"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72% perpetual licenses</w:t>
            </w:r>
          </w:p>
        </w:tc>
        <w:tc>
          <w:tcPr>
            <w:tcW w:w="0" w:type="auto"/>
            <w:hideMark/>
          </w:tcPr>
          <w:p w14:paraId="213F08C0"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28% audit rights</w:t>
            </w:r>
          </w:p>
        </w:tc>
        <w:tc>
          <w:tcPr>
            <w:tcW w:w="0" w:type="auto"/>
            <w:hideMark/>
          </w:tcPr>
          <w:p w14:paraId="0A3F6E0B"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33% override capacity</w:t>
            </w:r>
          </w:p>
        </w:tc>
      </w:tr>
      <w:tr w:rsidR="00C94197" w:rsidRPr="00C94197" w14:paraId="67AB8794" w14:textId="77777777" w:rsidTr="00C94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AE70B8"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Early-Stage VC (Series A/B)</w:t>
            </w:r>
          </w:p>
        </w:tc>
        <w:tc>
          <w:tcPr>
            <w:tcW w:w="0" w:type="auto"/>
            <w:hideMark/>
          </w:tcPr>
          <w:p w14:paraId="1C270469"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12 contracts</w:t>
            </w:r>
          </w:p>
        </w:tc>
        <w:tc>
          <w:tcPr>
            <w:tcW w:w="0" w:type="auto"/>
            <w:hideMark/>
          </w:tcPr>
          <w:p w14:paraId="1FE0E127"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2.6 (0.8)</w:t>
            </w:r>
          </w:p>
        </w:tc>
        <w:tc>
          <w:tcPr>
            <w:tcW w:w="0" w:type="auto"/>
            <w:hideMark/>
          </w:tcPr>
          <w:p w14:paraId="112A57B5"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58% perpetual licenses</w:t>
            </w:r>
          </w:p>
        </w:tc>
        <w:tc>
          <w:tcPr>
            <w:tcW w:w="0" w:type="auto"/>
            <w:hideMark/>
          </w:tcPr>
          <w:p w14:paraId="2073799F"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42% audit rights</w:t>
            </w:r>
          </w:p>
        </w:tc>
        <w:tc>
          <w:tcPr>
            <w:tcW w:w="0" w:type="auto"/>
            <w:hideMark/>
          </w:tcPr>
          <w:p w14:paraId="090D8B74"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50% override capacity</w:t>
            </w:r>
          </w:p>
        </w:tc>
      </w:tr>
      <w:tr w:rsidR="00C94197" w:rsidRPr="00C94197" w14:paraId="6CD6F7E4" w14:textId="77777777" w:rsidTr="00C94197">
        <w:tc>
          <w:tcPr>
            <w:cnfStyle w:val="001000000000" w:firstRow="0" w:lastRow="0" w:firstColumn="1" w:lastColumn="0" w:oddVBand="0" w:evenVBand="0" w:oddHBand="0" w:evenHBand="0" w:firstRowFirstColumn="0" w:firstRowLastColumn="0" w:lastRowFirstColumn="0" w:lastRowLastColumn="0"/>
            <w:tcW w:w="0" w:type="auto"/>
            <w:hideMark/>
          </w:tcPr>
          <w:p w14:paraId="3A7D1993"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Public/Nonprofit (</w:t>
            </w:r>
            <w:proofErr w:type="spellStart"/>
            <w:r w:rsidRPr="00C94197">
              <w:rPr>
                <w:rFonts w:asciiTheme="majorHAnsi" w:hAnsiTheme="majorHAnsi" w:cs="Times New Roman"/>
                <w:sz w:val="20"/>
              </w:rPr>
              <w:t>OpenSciEd</w:t>
            </w:r>
            <w:proofErr w:type="spellEnd"/>
            <w:r w:rsidRPr="00C94197">
              <w:rPr>
                <w:rFonts w:asciiTheme="majorHAnsi" w:hAnsiTheme="majorHAnsi" w:cs="Times New Roman"/>
                <w:sz w:val="20"/>
              </w:rPr>
              <w:t>, Moodle)</w:t>
            </w:r>
          </w:p>
        </w:tc>
        <w:tc>
          <w:tcPr>
            <w:tcW w:w="0" w:type="auto"/>
            <w:hideMark/>
          </w:tcPr>
          <w:p w14:paraId="6C4AE9F3"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5 contracts</w:t>
            </w:r>
          </w:p>
        </w:tc>
        <w:tc>
          <w:tcPr>
            <w:tcW w:w="0" w:type="auto"/>
            <w:hideMark/>
          </w:tcPr>
          <w:p w14:paraId="10FE0F68"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4.5 (0.5)</w:t>
            </w:r>
          </w:p>
        </w:tc>
        <w:tc>
          <w:tcPr>
            <w:tcW w:w="0" w:type="auto"/>
            <w:hideMark/>
          </w:tcPr>
          <w:p w14:paraId="7DA1D3A2"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0% perpetual licenses</w:t>
            </w:r>
          </w:p>
        </w:tc>
        <w:tc>
          <w:tcPr>
            <w:tcW w:w="0" w:type="auto"/>
            <w:hideMark/>
          </w:tcPr>
          <w:p w14:paraId="4440D94C"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100% audit rights</w:t>
            </w:r>
          </w:p>
        </w:tc>
        <w:tc>
          <w:tcPr>
            <w:tcW w:w="0" w:type="auto"/>
            <w:hideMark/>
          </w:tcPr>
          <w:p w14:paraId="06DD24BC"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100% override capacity</w:t>
            </w:r>
          </w:p>
        </w:tc>
      </w:tr>
    </w:tbl>
    <w:p w14:paraId="0DF0DD7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Note: Analysis scores are taking 50 district contracts ( 2020-2025) as their basis. There is much less sovereignty between the private equity platforms (p&lt;.001, ANOVA). According to ProPublica database, state FOIA records and platform terms-of-service analysis.</w:t>
      </w:r>
    </w:p>
    <w:p w14:paraId="6C6DE165"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researchers are able to prove that venture capital generates curriculum dependency by consolidating acquisitions, vertically integrating, and using algorithmic governance. The acquisition of PowerSchool, the financial engineering discipline by Bain Capital Partners, is an example of consolidation and the fee-driven increase of post-acquisition, which is 40 and the data-sharing addendum which is obligatory, can allow the consolidation of student conduct in 14,000 districts. Small districts indicate switching costs more than yearly technology funds, which form captive markets where superintendents report connection like marriages over which divorce is most expensive than the wedding itself.</w:t>
      </w:r>
    </w:p>
    <w:p w14:paraId="4E6CC97D"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The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acquisition by Discovery Education provides an example of how adaptive engines are purchased by content providers to put districts in closed-ecosystems. It has been analyzed that 83 percent of the districts that used Discovery core curriculum then switched over to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even when there were cheaper options available because of seamless integration requirements that render data export technically unfeasible. This colonizes the curriculum design, teachers are unable to combine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math with competing literacy tools without losing the capability of having a coherent dashboard.</w:t>
      </w:r>
    </w:p>
    <w:p w14:paraId="3E7AAC88"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Clauses in algorithmic governance supplant teacher discretion making vendor-designed learning sequences appear neutral and optimal. According to the Los Angeles USD contract with i-Ready of $6.2 million, Vendor shall have the right to alter the recommendation algorithms to enhance the effectiveness of the system, but the teacher has no right to be informed of this change affecting 640,000 students. This places algorithms as curriculum authors that are not accountable, which replaces district curriculum committees.</w:t>
      </w:r>
    </w:p>
    <w:p w14:paraId="0339BB5F" w14:textId="77777777" w:rsidR="00C94197" w:rsidRDefault="00C94197" w:rsidP="00C94197">
      <w:pPr>
        <w:spacing w:line="240" w:lineRule="auto"/>
        <w:jc w:val="both"/>
        <w:rPr>
          <w:rFonts w:asciiTheme="majorHAnsi" w:hAnsiTheme="majorHAnsi" w:cs="Times New Roman"/>
          <w:b/>
          <w:bCs/>
        </w:rPr>
      </w:pPr>
    </w:p>
    <w:p w14:paraId="58D5D672"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Table 2: Frequency of Sovereignty-Relinquishing Terms in K-12 Contracts (N=50)</w:t>
      </w:r>
    </w:p>
    <w:tbl>
      <w:tblPr>
        <w:tblStyle w:val="LightShading"/>
        <w:tblW w:w="0" w:type="auto"/>
        <w:tblLook w:val="04A0" w:firstRow="1" w:lastRow="0" w:firstColumn="1" w:lastColumn="0" w:noHBand="0" w:noVBand="1"/>
      </w:tblPr>
      <w:tblGrid>
        <w:gridCol w:w="2042"/>
        <w:gridCol w:w="1190"/>
        <w:gridCol w:w="4568"/>
        <w:gridCol w:w="3216"/>
      </w:tblGrid>
      <w:tr w:rsidR="00C94197" w:rsidRPr="00C94197" w14:paraId="2F0D9425" w14:textId="77777777" w:rsidTr="00C94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90B054" w14:textId="77777777" w:rsidR="00C94197" w:rsidRPr="00C94197" w:rsidRDefault="00C94197" w:rsidP="00C94197">
            <w:pPr>
              <w:spacing w:after="160"/>
              <w:jc w:val="center"/>
              <w:rPr>
                <w:rFonts w:asciiTheme="majorHAnsi" w:hAnsiTheme="majorHAnsi" w:cs="Times New Roman"/>
                <w:b w:val="0"/>
                <w:bCs w:val="0"/>
                <w:sz w:val="20"/>
              </w:rPr>
            </w:pPr>
            <w:r w:rsidRPr="00C94197">
              <w:rPr>
                <w:rFonts w:asciiTheme="majorHAnsi" w:hAnsiTheme="majorHAnsi" w:cs="Times New Roman"/>
                <w:sz w:val="20"/>
              </w:rPr>
              <w:t>Contract Term</w:t>
            </w:r>
          </w:p>
        </w:tc>
        <w:tc>
          <w:tcPr>
            <w:tcW w:w="0" w:type="auto"/>
            <w:hideMark/>
          </w:tcPr>
          <w:p w14:paraId="2FC959FD"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Frequency</w:t>
            </w:r>
          </w:p>
        </w:tc>
        <w:tc>
          <w:tcPr>
            <w:tcW w:w="0" w:type="auto"/>
            <w:hideMark/>
          </w:tcPr>
          <w:p w14:paraId="5A8DFFB9"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Example Language</w:t>
            </w:r>
          </w:p>
        </w:tc>
        <w:tc>
          <w:tcPr>
            <w:tcW w:w="0" w:type="auto"/>
            <w:hideMark/>
          </w:tcPr>
          <w:p w14:paraId="14983A9F"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Disparate Impact</w:t>
            </w:r>
          </w:p>
        </w:tc>
      </w:tr>
      <w:tr w:rsidR="00C94197" w:rsidRPr="00C94197" w14:paraId="52C7D8D7" w14:textId="77777777" w:rsidTr="00C94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F913A1"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Perpetual Data License</w:t>
            </w:r>
          </w:p>
        </w:tc>
        <w:tc>
          <w:tcPr>
            <w:tcW w:w="0" w:type="auto"/>
            <w:hideMark/>
          </w:tcPr>
          <w:p w14:paraId="0C72C635"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68%</w:t>
            </w:r>
          </w:p>
        </w:tc>
        <w:tc>
          <w:tcPr>
            <w:tcW w:w="0" w:type="auto"/>
            <w:hideMark/>
          </w:tcPr>
          <w:p w14:paraId="2A2A9401"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"District grants Vendor perpetual, irrevocable license to use aggregated Student Data for product improvement"</w:t>
            </w:r>
          </w:p>
        </w:tc>
        <w:tc>
          <w:tcPr>
            <w:tcW w:w="0" w:type="auto"/>
            <w:hideMark/>
          </w:tcPr>
          <w:p w14:paraId="3E7CBF68"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Enables vendor profit from public data without compensation</w:t>
            </w:r>
          </w:p>
        </w:tc>
      </w:tr>
      <w:tr w:rsidR="00C94197" w:rsidRPr="00C94197" w14:paraId="3F406770" w14:textId="77777777" w:rsidTr="00C94197">
        <w:tc>
          <w:tcPr>
            <w:cnfStyle w:val="001000000000" w:firstRow="0" w:lastRow="0" w:firstColumn="1" w:lastColumn="0" w:oddVBand="0" w:evenVBand="0" w:oddHBand="0" w:evenHBand="0" w:firstRowFirstColumn="0" w:firstRowLastColumn="0" w:lastRowFirstColumn="0" w:lastRowLastColumn="0"/>
            <w:tcW w:w="0" w:type="auto"/>
            <w:hideMark/>
          </w:tcPr>
          <w:p w14:paraId="57D684B3"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No Algorithmic Audit</w:t>
            </w:r>
          </w:p>
        </w:tc>
        <w:tc>
          <w:tcPr>
            <w:tcW w:w="0" w:type="auto"/>
            <w:hideMark/>
          </w:tcPr>
          <w:p w14:paraId="5BADA3A3"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73%</w:t>
            </w:r>
          </w:p>
        </w:tc>
        <w:tc>
          <w:tcPr>
            <w:tcW w:w="0" w:type="auto"/>
            <w:hideMark/>
          </w:tcPr>
          <w:p w14:paraId="2F6B9189"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"Vendor's proprietary algorithms are confidential trade secrets; District may not reverse-engineer or audit decision logic"</w:t>
            </w:r>
          </w:p>
        </w:tc>
        <w:tc>
          <w:tcPr>
            <w:tcW w:w="0" w:type="auto"/>
            <w:hideMark/>
          </w:tcPr>
          <w:p w14:paraId="4CBB0F22"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Prevents detection of bias; Stanford Law notes this exacerbates racial disparities</w:t>
            </w:r>
          </w:p>
        </w:tc>
      </w:tr>
      <w:tr w:rsidR="00C94197" w:rsidRPr="00C94197" w14:paraId="6A993660" w14:textId="77777777" w:rsidTr="00C94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CD1698"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Unilateral Update Authority</w:t>
            </w:r>
          </w:p>
        </w:tc>
        <w:tc>
          <w:tcPr>
            <w:tcW w:w="0" w:type="auto"/>
            <w:hideMark/>
          </w:tcPr>
          <w:p w14:paraId="6AE89610"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52%</w:t>
            </w:r>
          </w:p>
        </w:tc>
        <w:tc>
          <w:tcPr>
            <w:tcW w:w="0" w:type="auto"/>
            <w:hideMark/>
          </w:tcPr>
          <w:p w14:paraId="77D1E3A3"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"Vendor may update algorithms without notice; continued use constitutes acceptance"</w:t>
            </w:r>
          </w:p>
        </w:tc>
        <w:tc>
          <w:tcPr>
            <w:tcW w:w="0" w:type="auto"/>
            <w:hideMark/>
          </w:tcPr>
          <w:p w14:paraId="4A16DFEC"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Teachers cannot adapt pedagogy to changing AI behavior</w:t>
            </w:r>
          </w:p>
        </w:tc>
      </w:tr>
      <w:tr w:rsidR="00C94197" w:rsidRPr="00C94197" w14:paraId="60C68055" w14:textId="77777777" w:rsidTr="00C94197">
        <w:tc>
          <w:tcPr>
            <w:cnfStyle w:val="001000000000" w:firstRow="0" w:lastRow="0" w:firstColumn="1" w:lastColumn="0" w:oddVBand="0" w:evenVBand="0" w:oddHBand="0" w:evenHBand="0" w:firstRowFirstColumn="0" w:firstRowLastColumn="0" w:lastRowFirstColumn="0" w:lastRowLastColumn="0"/>
            <w:tcW w:w="0" w:type="auto"/>
            <w:hideMark/>
          </w:tcPr>
          <w:p w14:paraId="12C7F252"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Teacher Compliance Requirement</w:t>
            </w:r>
          </w:p>
        </w:tc>
        <w:tc>
          <w:tcPr>
            <w:tcW w:w="0" w:type="auto"/>
            <w:hideMark/>
          </w:tcPr>
          <w:p w14:paraId="1BA7E76B"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47%</w:t>
            </w:r>
          </w:p>
        </w:tc>
        <w:tc>
          <w:tcPr>
            <w:tcW w:w="0" w:type="auto"/>
            <w:hideMark/>
          </w:tcPr>
          <w:p w14:paraId="1365AD1F"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"Educators shall implement platform recommendations unless overridden by administrator"</w:t>
            </w:r>
          </w:p>
        </w:tc>
        <w:tc>
          <w:tcPr>
            <w:tcW w:w="0" w:type="auto"/>
            <w:hideMark/>
          </w:tcPr>
          <w:p w14:paraId="3EAF290C"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Reduces teacher agency to data stewardship</w:t>
            </w:r>
          </w:p>
        </w:tc>
      </w:tr>
      <w:tr w:rsidR="00C94197" w:rsidRPr="00C94197" w14:paraId="512261C9" w14:textId="77777777" w:rsidTr="00C94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627F4"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High Exit Costs</w:t>
            </w:r>
          </w:p>
        </w:tc>
        <w:tc>
          <w:tcPr>
            <w:tcW w:w="0" w:type="auto"/>
            <w:hideMark/>
          </w:tcPr>
          <w:p w14:paraId="4AA784C5"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61%</w:t>
            </w:r>
          </w:p>
        </w:tc>
        <w:tc>
          <w:tcPr>
            <w:tcW w:w="0" w:type="auto"/>
            <w:hideMark/>
          </w:tcPr>
          <w:p w14:paraId="179D5E33"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"Early termination requires payment of 150% of remaining contract value plus data export fees of $50,000"</w:t>
            </w:r>
          </w:p>
        </w:tc>
        <w:tc>
          <w:tcPr>
            <w:tcW w:w="0" w:type="auto"/>
            <w:hideMark/>
          </w:tcPr>
          <w:p w14:paraId="0B337BD5"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Creates financial lock-in</w:t>
            </w:r>
          </w:p>
        </w:tc>
      </w:tr>
    </w:tbl>
    <w:p w14:paraId="2F0E39D5"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Source: 50 district contract analysis, 2020-2025. Words discovered with the help of the key-word search and semantic coding. Disparate impact evaluation according to the U.S. DOE directions on civil rights.</w:t>
      </w:r>
    </w:p>
    <w:p w14:paraId="4FCD63BD"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Colonial data practices are one type of discriminatory design. The Minnesota Department of Education recommends against training data that represents past inequities, and this results in discriminatory data. A ScienceDirect student progress monitoring algorithm study identified institutional data (attendance, discipline) as the leading source of bias and students with disabilities and Black students are overrepresented in the at-risk group. The Optimal Time Index of the study demonstrated that the Day 60 projections at which most interventions are done showed that the false positive rates of Day 60 predictions of Black students were 34% higher than false positive rates of white counterparts.</w:t>
      </w:r>
    </w:p>
    <w:p w14:paraId="15782ED1"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Harms in the real world have logically included content-filtering algorithms treating posts by LGBTQ students on social media as acts of bullying more frequently (3 times, as compared to posts by heterosexual students) and labeling such posts more frequently (3 times, on average) than those by heterosexual students. False positives were produced on 42 percent of disabled students compared to 8 percent of non-disabled students by remote proctoring software. Civil rights are still being violated even after the U.S. Department of Education issued a policy that did confirm the existence of algorithmic discrimination as a violation of Title IV, Title IX, and Section 504. Bias audit of procurement contracts is only required in 12 percent and no such pre-deployment disparate impact testing is mandated.</w:t>
      </w:r>
    </w:p>
    <w:p w14:paraId="3EA8C3A5"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Table 3: Teacher Agency Indicators by District (2020-2024)</w:t>
      </w:r>
    </w:p>
    <w:tbl>
      <w:tblPr>
        <w:tblStyle w:val="LightShading"/>
        <w:tblW w:w="0" w:type="auto"/>
        <w:tblLook w:val="04A0" w:firstRow="1" w:lastRow="0" w:firstColumn="1" w:lastColumn="0" w:noHBand="0" w:noVBand="1"/>
      </w:tblPr>
      <w:tblGrid>
        <w:gridCol w:w="1451"/>
        <w:gridCol w:w="1144"/>
        <w:gridCol w:w="1777"/>
        <w:gridCol w:w="2175"/>
        <w:gridCol w:w="2657"/>
        <w:gridCol w:w="1812"/>
      </w:tblGrid>
      <w:tr w:rsidR="00C94197" w:rsidRPr="00C94197" w14:paraId="09797AC5" w14:textId="77777777" w:rsidTr="00C94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661DD" w14:textId="77777777" w:rsidR="00C94197" w:rsidRPr="00C94197" w:rsidRDefault="00C94197" w:rsidP="00C94197">
            <w:pPr>
              <w:spacing w:after="160"/>
              <w:jc w:val="center"/>
              <w:rPr>
                <w:rFonts w:asciiTheme="majorHAnsi" w:hAnsiTheme="majorHAnsi" w:cs="Times New Roman"/>
                <w:b w:val="0"/>
                <w:bCs w:val="0"/>
                <w:sz w:val="20"/>
              </w:rPr>
            </w:pPr>
            <w:r w:rsidRPr="00C94197">
              <w:rPr>
                <w:rFonts w:asciiTheme="majorHAnsi" w:hAnsiTheme="majorHAnsi" w:cs="Times New Roman"/>
                <w:sz w:val="20"/>
              </w:rPr>
              <w:t>District</w:t>
            </w:r>
          </w:p>
        </w:tc>
        <w:tc>
          <w:tcPr>
            <w:tcW w:w="0" w:type="auto"/>
            <w:hideMark/>
          </w:tcPr>
          <w:p w14:paraId="51C53BB8"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Platform</w:t>
            </w:r>
          </w:p>
        </w:tc>
        <w:tc>
          <w:tcPr>
            <w:tcW w:w="0" w:type="auto"/>
            <w:hideMark/>
          </w:tcPr>
          <w:p w14:paraId="1690D2FE"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Override Capacity</w:t>
            </w:r>
          </w:p>
        </w:tc>
        <w:tc>
          <w:tcPr>
            <w:tcW w:w="0" w:type="auto"/>
            <w:hideMark/>
          </w:tcPr>
          <w:p w14:paraId="4CFB293F"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Training Hours (Pedagogy)</w:t>
            </w:r>
          </w:p>
        </w:tc>
        <w:tc>
          <w:tcPr>
            <w:tcW w:w="0" w:type="auto"/>
            <w:hideMark/>
          </w:tcPr>
          <w:p w14:paraId="5A6A40F5"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Dashboard Monitoring Time/Week</w:t>
            </w:r>
          </w:p>
        </w:tc>
        <w:tc>
          <w:tcPr>
            <w:tcW w:w="0" w:type="auto"/>
            <w:hideMark/>
          </w:tcPr>
          <w:p w14:paraId="394AE67F" w14:textId="77777777" w:rsidR="00C94197" w:rsidRPr="00C94197" w:rsidRDefault="00C94197" w:rsidP="00C94197">
            <w:pPr>
              <w:spacing w:after="1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sz w:val="20"/>
              </w:rPr>
            </w:pPr>
            <w:r w:rsidRPr="00C94197">
              <w:rPr>
                <w:rFonts w:asciiTheme="majorHAnsi" w:hAnsiTheme="majorHAnsi" w:cs="Times New Roman"/>
                <w:sz w:val="20"/>
              </w:rPr>
              <w:t>Teacher Attrition Rate</w:t>
            </w:r>
          </w:p>
        </w:tc>
      </w:tr>
      <w:tr w:rsidR="00C94197" w:rsidRPr="00C94197" w14:paraId="5A45C7D7" w14:textId="77777777" w:rsidTr="00C94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6788DF"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Oakland USD</w:t>
            </w:r>
          </w:p>
        </w:tc>
        <w:tc>
          <w:tcPr>
            <w:tcW w:w="0" w:type="auto"/>
            <w:hideMark/>
          </w:tcPr>
          <w:p w14:paraId="62FA9A6B"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PL² Hybrid</w:t>
            </w:r>
          </w:p>
        </w:tc>
        <w:tc>
          <w:tcPr>
            <w:tcW w:w="0" w:type="auto"/>
            <w:hideMark/>
          </w:tcPr>
          <w:p w14:paraId="4302D8AE"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Yes (contractual)</w:t>
            </w:r>
          </w:p>
        </w:tc>
        <w:tc>
          <w:tcPr>
            <w:tcW w:w="0" w:type="auto"/>
            <w:hideMark/>
          </w:tcPr>
          <w:p w14:paraId="5F3F74EF"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18 hours/year</w:t>
            </w:r>
          </w:p>
        </w:tc>
        <w:tc>
          <w:tcPr>
            <w:tcW w:w="0" w:type="auto"/>
            <w:hideMark/>
          </w:tcPr>
          <w:p w14:paraId="2075D9FB"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2.5 hours</w:t>
            </w:r>
          </w:p>
        </w:tc>
        <w:tc>
          <w:tcPr>
            <w:tcW w:w="0" w:type="auto"/>
            <w:hideMark/>
          </w:tcPr>
          <w:p w14:paraId="64382DE6"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6%</w:t>
            </w:r>
          </w:p>
        </w:tc>
      </w:tr>
      <w:tr w:rsidR="00C94197" w:rsidRPr="00C94197" w14:paraId="5BCFA957" w14:textId="77777777" w:rsidTr="00C94197">
        <w:tc>
          <w:tcPr>
            <w:cnfStyle w:val="001000000000" w:firstRow="0" w:lastRow="0" w:firstColumn="1" w:lastColumn="0" w:oddVBand="0" w:evenVBand="0" w:oddHBand="0" w:evenHBand="0" w:firstRowFirstColumn="0" w:firstRowLastColumn="0" w:lastRowFirstColumn="0" w:lastRowLastColumn="0"/>
            <w:tcW w:w="0" w:type="auto"/>
            <w:hideMark/>
          </w:tcPr>
          <w:p w14:paraId="4210638A"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Los Angeles USD</w:t>
            </w:r>
          </w:p>
        </w:tc>
        <w:tc>
          <w:tcPr>
            <w:tcW w:w="0" w:type="auto"/>
            <w:hideMark/>
          </w:tcPr>
          <w:p w14:paraId="09C77635"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i-Ready</w:t>
            </w:r>
          </w:p>
        </w:tc>
        <w:tc>
          <w:tcPr>
            <w:tcW w:w="0" w:type="auto"/>
            <w:hideMark/>
          </w:tcPr>
          <w:p w14:paraId="440E9743"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No</w:t>
            </w:r>
          </w:p>
        </w:tc>
        <w:tc>
          <w:tcPr>
            <w:tcW w:w="0" w:type="auto"/>
            <w:hideMark/>
          </w:tcPr>
          <w:p w14:paraId="7ECDAE2B"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4 hours/year</w:t>
            </w:r>
          </w:p>
        </w:tc>
        <w:tc>
          <w:tcPr>
            <w:tcW w:w="0" w:type="auto"/>
            <w:hideMark/>
          </w:tcPr>
          <w:p w14:paraId="339F96BE"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6.2 hours</w:t>
            </w:r>
          </w:p>
        </w:tc>
        <w:tc>
          <w:tcPr>
            <w:tcW w:w="0" w:type="auto"/>
            <w:hideMark/>
          </w:tcPr>
          <w:p w14:paraId="0C66B8E4" w14:textId="77777777" w:rsidR="00C94197" w:rsidRPr="00C94197" w:rsidRDefault="00C94197" w:rsidP="00C94197">
            <w:pPr>
              <w:spacing w:after="16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12%</w:t>
            </w:r>
          </w:p>
        </w:tc>
      </w:tr>
      <w:tr w:rsidR="00C94197" w:rsidRPr="00C94197" w14:paraId="66A737FA" w14:textId="77777777" w:rsidTr="00C94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A05662" w14:textId="77777777" w:rsidR="00C94197" w:rsidRPr="00C94197" w:rsidRDefault="00C94197" w:rsidP="00C94197">
            <w:pPr>
              <w:spacing w:after="160"/>
              <w:jc w:val="center"/>
              <w:rPr>
                <w:rFonts w:asciiTheme="majorHAnsi" w:hAnsiTheme="majorHAnsi" w:cs="Times New Roman"/>
                <w:sz w:val="20"/>
              </w:rPr>
            </w:pPr>
            <w:r w:rsidRPr="00C94197">
              <w:rPr>
                <w:rFonts w:asciiTheme="majorHAnsi" w:hAnsiTheme="majorHAnsi" w:cs="Times New Roman"/>
                <w:sz w:val="20"/>
              </w:rPr>
              <w:t>Houston ISD</w:t>
            </w:r>
          </w:p>
        </w:tc>
        <w:tc>
          <w:tcPr>
            <w:tcW w:w="0" w:type="auto"/>
            <w:hideMark/>
          </w:tcPr>
          <w:p w14:paraId="4A1EB708"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proofErr w:type="spellStart"/>
            <w:r w:rsidRPr="00C94197">
              <w:rPr>
                <w:rFonts w:asciiTheme="majorHAnsi" w:hAnsiTheme="majorHAnsi" w:cs="Times New Roman"/>
                <w:sz w:val="20"/>
              </w:rPr>
              <w:t>DreamBox</w:t>
            </w:r>
            <w:proofErr w:type="spellEnd"/>
          </w:p>
        </w:tc>
        <w:tc>
          <w:tcPr>
            <w:tcW w:w="0" w:type="auto"/>
            <w:hideMark/>
          </w:tcPr>
          <w:p w14:paraId="1760880C"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Limited (admin only)</w:t>
            </w:r>
          </w:p>
        </w:tc>
        <w:tc>
          <w:tcPr>
            <w:tcW w:w="0" w:type="auto"/>
            <w:hideMark/>
          </w:tcPr>
          <w:p w14:paraId="6D4FFB8A"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8 hours/year</w:t>
            </w:r>
          </w:p>
        </w:tc>
        <w:tc>
          <w:tcPr>
            <w:tcW w:w="0" w:type="auto"/>
            <w:hideMark/>
          </w:tcPr>
          <w:p w14:paraId="3071CC67"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4.1 hours</w:t>
            </w:r>
          </w:p>
        </w:tc>
        <w:tc>
          <w:tcPr>
            <w:tcW w:w="0" w:type="auto"/>
            <w:hideMark/>
          </w:tcPr>
          <w:p w14:paraId="18BB5B38" w14:textId="77777777" w:rsidR="00C94197" w:rsidRPr="00C94197" w:rsidRDefault="00C94197" w:rsidP="00C94197">
            <w:pPr>
              <w:spacing w:after="16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rPr>
            </w:pPr>
            <w:r w:rsidRPr="00C94197">
              <w:rPr>
                <w:rFonts w:asciiTheme="majorHAnsi" w:hAnsiTheme="majorHAnsi" w:cs="Times New Roman"/>
                <w:sz w:val="20"/>
              </w:rPr>
              <w:t>9%</w:t>
            </w:r>
          </w:p>
        </w:tc>
      </w:tr>
    </w:tbl>
    <w:p w14:paraId="381B5A59"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lastRenderedPageBreak/>
        <w:t>Note: Data synthesized on the basis of the records on the professional development provided in the district, available union contracts and published ethnographies. Self-reported time in teacher surveys on dashboard monitoring (N=30). State education agency attrition rates (2020-2024).</w:t>
      </w:r>
    </w:p>
    <w:p w14:paraId="0C65CAB9"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Teacher agency loss is in the form of algorithmic deskilling and data labor. Teachers in re-</w:t>
      </w:r>
      <w:proofErr w:type="spellStart"/>
      <w:r w:rsidRPr="00C94197">
        <w:rPr>
          <w:rFonts w:asciiTheme="majorHAnsi" w:hAnsiTheme="majorHAnsi" w:cs="Times New Roman"/>
        </w:rPr>
        <w:t>analysed</w:t>
      </w:r>
      <w:proofErr w:type="spellEnd"/>
      <w:r w:rsidRPr="00C94197">
        <w:rPr>
          <w:rFonts w:asciiTheme="majorHAnsi" w:hAnsiTheme="majorHAnsi" w:cs="Times New Roman"/>
        </w:rPr>
        <w:t xml:space="preserve"> interviews talk of spending Sundays looking at dashboards instead of creating project-based assessments. One of the fifth-grade teachers commented: I am good at decoding the minds of children, not with algorithm outputs. Educators note that platform monitoring is 43 percent more time-intensive after adoption, and professional development is no longer about curriculum development but instead, about what educators call data literacy, i.e., training on vendor dashboards.</w:t>
      </w:r>
    </w:p>
    <w:p w14:paraId="381ECC23"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Micro-resistance that comes about is when teachers create shadow curricula to circumvent platforms. One of the high school English teachers explained how she made parallel offline assignments when the algorithm prevented ELL students to access grade-level texts. Nevertheless, these workarounds make it impossible to measure the efficacy accurately, which leads to the creation of a vicious cycle in which systems do not seem to work because of teacher resistance, which leads to stricter algorithmic control.</w:t>
      </w:r>
    </w:p>
    <w:p w14:paraId="108A25A5"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Collective bargaining is a way out to sovereignty. The Oakland Teachers Union was able to negotiate a so called human-in-the-loop provision, restricting automated grading to 30 percent of final grades and demanding teacher override capacity on all algorithmic suggestions. The contract at Los Angeles USD does not provide these, and it is associated with an increase in teacher turnover in AI-adoption schools (12% and 8% in the district, respectively).</w:t>
      </w:r>
    </w:p>
    <w:p w14:paraId="1ED2F6FF"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Discussion</w:t>
      </w:r>
    </w:p>
    <w:p w14:paraId="1E5A5620"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results prove that venture capital is the colonizing power in the field of public education by means of juridical, technical, and pedagogical processes that substantially alter the governing relationships. Contracts act as treaties to give up sovereignty to get access to technology, and with endless data terms, extractive legal systems are formed in which student relations turn into vendor assets. Dependency Platform architectures impose dependency on API restrictions and non-portable data formats, and algorithmic governance replaces teacher judgment by showing vendor-designed learning sequences as neutral and optimal.</w:t>
      </w:r>
    </w:p>
    <w:p w14:paraId="0AA6DA07" w14:textId="77777777" w:rsidR="00C94197" w:rsidRPr="00C94197" w:rsidRDefault="00C94197" w:rsidP="00C94197">
      <w:pPr>
        <w:spacing w:line="240" w:lineRule="auto"/>
        <w:jc w:val="both"/>
        <w:rPr>
          <w:rFonts w:asciiTheme="majorHAnsi" w:hAnsiTheme="majorHAnsi" w:cs="Times New Roman"/>
          <w:b/>
        </w:rPr>
      </w:pPr>
      <w:r w:rsidRPr="00C94197">
        <w:rPr>
          <w:rFonts w:asciiTheme="majorHAnsi" w:hAnsiTheme="majorHAnsi" w:cs="Times New Roman"/>
          <w:b/>
        </w:rPr>
        <w:t>Juridical Colonization and the Role of the Treaty.</w:t>
      </w:r>
    </w:p>
    <w:p w14:paraId="3E06EE33"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juridical colonization of the EdTech procurement contractual architecture reflects the historical colonial legal tools. Price perpetual-related clauses (68 percent of K-12 contracts) are deeds of surrender that part with perpetual student behavioral data rights to third parties. An analysis of the standard agreement of PowerSchool shows that there is a language which says: "District hereby grants Vendor an irrevocable, global, royalty-free license to access, reproduce and develop derivative works of all Student Data, forever. This legislation becomes a commodity border in which learning tracks of students can be extracted as commodities in the context of learning. These clauses create a form of data colonialism by accumulating data by dispossession (Thatcher et al., 2016) unlike the traditional textbook purchasing model where content was fixed and owned by districts and all the vendors had unrestricted rights to exploit the data produced by the districts.</w:t>
      </w:r>
    </w:p>
    <w:p w14:paraId="2AECE216"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An analogy with the case of treaties is analytically accurate: as with 19 </w:t>
      </w:r>
      <w:proofErr w:type="spellStart"/>
      <w:r w:rsidRPr="00C94197">
        <w:rPr>
          <w:rFonts w:asciiTheme="majorHAnsi" w:hAnsiTheme="majorHAnsi" w:cs="Times New Roman"/>
        </w:rPr>
        <w:t>th</w:t>
      </w:r>
      <w:proofErr w:type="spellEnd"/>
      <w:r w:rsidRPr="00C94197">
        <w:rPr>
          <w:rFonts w:asciiTheme="majorHAnsi" w:hAnsiTheme="majorHAnsi" w:cs="Times New Roman"/>
        </w:rPr>
        <w:t xml:space="preserve"> -century colonial treaties granting mineral rights in exchange of restricted access to technology (railroads, telegraphs), modern EdTech agreements offer data rights and access to algorithmic tools. This forms an imbalance of bargaining power, as districts have to accept take-it-or-leave-it standard form contracts prepared by VC-supported legal teams, having no bargaining capacity to alter sovereignty-relinquishing terms. The model EdTech contract framework used by New York State, being progressive, is implemented by less than 12% of the districts, illustrating how market concentration overcomes even voluntary sovereignty protection.</w:t>
      </w:r>
    </w:p>
    <w:p w14:paraId="5CAA2B60"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Moreover, these contracts create jurisdiction uncertainty which protects vendors against being held accountable by the people. They all have forced arbitration (in 54% of agreements) that deter class-action lawsuits based on algorithmic discrimination, and frequently choice-of-law provisions which declare most federal courts as the </w:t>
      </w:r>
      <w:r w:rsidRPr="00C94197">
        <w:rPr>
          <w:rFonts w:asciiTheme="majorHAnsi" w:hAnsiTheme="majorHAnsi" w:cs="Times New Roman"/>
        </w:rPr>
        <w:lastRenderedPageBreak/>
        <w:t xml:space="preserve">Delaware or California court over which a district must issue a lawsuit, thousands of miles away, as a matter of course. This juridical engineering establishes what critical legal theorists call corporate sovereignty a parallel juridical system in which the law of education of the populace is merged with that of the contract of the business. In 2023, when Oakland USD was trying to audit the algorithm of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as biased against racial minorities, the confidentiality clause of the contract was activated and issued a cease-and-desist order, effectively protecting the platform against scrutiny of civil rights violations. The legal representative of this district said: We are more vigilant of our food vendors in our cafeteria than with our curriculum platforms.</w:t>
      </w:r>
    </w:p>
    <w:p w14:paraId="074EE35C" w14:textId="77777777" w:rsidR="00C94197" w:rsidRPr="00C94197" w:rsidRDefault="00C94197" w:rsidP="00C94197">
      <w:pPr>
        <w:spacing w:line="240" w:lineRule="auto"/>
        <w:jc w:val="both"/>
        <w:rPr>
          <w:rFonts w:asciiTheme="majorHAnsi" w:hAnsiTheme="majorHAnsi" w:cs="Times New Roman"/>
          <w:b/>
        </w:rPr>
      </w:pPr>
      <w:r w:rsidRPr="00C94197">
        <w:rPr>
          <w:rFonts w:asciiTheme="majorHAnsi" w:hAnsiTheme="majorHAnsi" w:cs="Times New Roman"/>
          <w:b/>
        </w:rPr>
        <w:t>Lock-In and Technical Colonization and Infrastructure Lock-In</w:t>
      </w:r>
    </w:p>
    <w:p w14:paraId="7874FFF5"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Technical colonization is achieved by infrastructural dependency which renders theoretical sovereignty having no significance in reality. Technological entanglement is the restriction of API and proprietary data formats, where a district can end a contract and cannot legally get student learning histories in formats that can be used. Examination of 15 district exit attempts indicated that the average cost of data export was 78000 dollars to mid-sized districts, and the import and export data took non-standard JSON and schema, which took 45000 dollars of custom parsing to import into other platforms. In 42 percent of the instances, the vendors provided "aggregate summaries" and not transactional data, which makes the historical learning trends inaccessible and could not support continuity of personalized instruction.</w:t>
      </w:r>
    </w:p>
    <w:p w14:paraId="3B8C5B68"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The idea of API colonialism is used to describe the dependency generated by the platforms through false shallow integrations and the retention of control over underlying data streams. Canvas LMS, a product of a private equity company </w:t>
      </w:r>
      <w:proofErr w:type="spellStart"/>
      <w:r w:rsidRPr="00C94197">
        <w:rPr>
          <w:rFonts w:asciiTheme="majorHAnsi" w:hAnsiTheme="majorHAnsi" w:cs="Times New Roman"/>
        </w:rPr>
        <w:t>Thoma</w:t>
      </w:r>
      <w:proofErr w:type="spellEnd"/>
      <w:r w:rsidRPr="00C94197">
        <w:rPr>
          <w:rFonts w:asciiTheme="majorHAnsi" w:hAnsiTheme="majorHAnsi" w:cs="Times New Roman"/>
        </w:rPr>
        <w:t xml:space="preserve"> Bravo, offers more than 1,000 third-party application integrations but offers access to more advanced API features at a cost of $25,000 per year that would enable districts to create their own analytics. This stratified data access resembles the colonial trading post economies the fundamental functionality is free but to be sovereign, prohibitively expensive tiering is necessary. The terms of service even when districts buy API access forbid creating features that are competing with Vendor roadmap in effect criminalizing local innovation.</w:t>
      </w:r>
    </w:p>
    <w:p w14:paraId="129B72EF"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Export problems are not the only problems with data format colonization. Student data is stored in proprietary vendor-oriented-analytics-oriented schemas as opposed to education-oriented ones. In 2024, when Chicago Public Schools tried to leave i-Ready and move to an in-district-built tool, the three years of student reading data were in the form of </w:t>
      </w:r>
      <w:proofErr w:type="spellStart"/>
      <w:r w:rsidRPr="00C94197">
        <w:rPr>
          <w:rFonts w:asciiTheme="majorHAnsi" w:hAnsiTheme="majorHAnsi" w:cs="Times New Roman"/>
        </w:rPr>
        <w:t>lexile</w:t>
      </w:r>
      <w:proofErr w:type="spellEnd"/>
      <w:r w:rsidRPr="00C94197">
        <w:rPr>
          <w:rFonts w:asciiTheme="majorHAnsi" w:hAnsiTheme="majorHAnsi" w:cs="Times New Roman"/>
        </w:rPr>
        <w:t xml:space="preserve"> vector embeddings which could not be decoded by anything other than the black-box decoder of i-Ready. The seller did not supply the translation key which made the data useless. This kind of technical sabotage is such that even after the contract ends, districts continue to rely on vendor tools to view their own educational records - a phenomenon one technologist called data ransom.</w:t>
      </w:r>
    </w:p>
    <w:p w14:paraId="7094FF9B"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technical colonization network effects are especially malicious. Improvements are made to the algorithm as more teachers and students use a platform though these are made by machine learning, not the district. Moreover, standardized test preparation materials such as i-Ready specifically familiarize students with item formatting in state exams, and the feedback loop between platform design and test design, in turn, requires further adoption of the platform. This occupies not only curriculum but even assessment sovereignty.</w:t>
      </w:r>
    </w:p>
    <w:p w14:paraId="1F1ED3C6" w14:textId="77777777" w:rsidR="00C94197" w:rsidRPr="00C94197" w:rsidRDefault="00C94197" w:rsidP="00C94197">
      <w:pPr>
        <w:spacing w:line="240" w:lineRule="auto"/>
        <w:jc w:val="both"/>
        <w:rPr>
          <w:rFonts w:asciiTheme="majorHAnsi" w:hAnsiTheme="majorHAnsi" w:cs="Times New Roman"/>
          <w:b/>
        </w:rPr>
      </w:pPr>
      <w:r w:rsidRPr="00C94197">
        <w:rPr>
          <w:rFonts w:asciiTheme="majorHAnsi" w:hAnsiTheme="majorHAnsi" w:cs="Times New Roman"/>
          <w:b/>
        </w:rPr>
        <w:t>Banking Model Pedagogical Colonization.</w:t>
      </w:r>
    </w:p>
    <w:p w14:paraId="7CAF0D25"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Pedagogical colonization is the most devastating effect, turning the teaching process into being a data obedient. Algorithms of governance perfect the banking model of education proposed by Freire (1970) when students have deposits of knowledge into them by the authority figures. Both </w:t>
      </w:r>
      <w:proofErr w:type="spellStart"/>
      <w:r w:rsidRPr="00C94197">
        <w:rPr>
          <w:rFonts w:asciiTheme="majorHAnsi" w:hAnsiTheme="majorHAnsi" w:cs="Times New Roman"/>
        </w:rPr>
        <w:t>i</w:t>
      </w:r>
      <w:proofErr w:type="spellEnd"/>
      <w:r w:rsidRPr="00C94197">
        <w:rPr>
          <w:rFonts w:asciiTheme="majorHAnsi" w:hAnsiTheme="majorHAnsi" w:cs="Times New Roman"/>
        </w:rPr>
        <w:t xml:space="preserve">-Ready and </w:t>
      </w:r>
      <w:proofErr w:type="spellStart"/>
      <w:r w:rsidRPr="00C94197">
        <w:rPr>
          <w:rFonts w:asciiTheme="majorHAnsi" w:hAnsiTheme="majorHAnsi" w:cs="Times New Roman"/>
        </w:rPr>
        <w:t>DreamBox</w:t>
      </w:r>
      <w:proofErr w:type="spellEnd"/>
      <w:r w:rsidRPr="00C94197">
        <w:rPr>
          <w:rFonts w:asciiTheme="majorHAnsi" w:hAnsiTheme="majorHAnsi" w:cs="Times New Roman"/>
        </w:rPr>
        <w:t xml:space="preserve"> are AI-driven systems that introduce pre-set learning paths as the most optimal ones based on a million or more data points, and that algorithmic authority seems to outperform the judgment of the teacher. The algorithm transforms itself into the so-called director of the invisible curriculum, and it decides which content to cover in what order, when it should be remedied, and even when students are deemed to be ready to do grade-level work.</w:t>
      </w:r>
    </w:p>
    <w:p w14:paraId="629849D0"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This deskilling takes place in the form of small, though systematic procedures. Gamified metrics are provided by platform dashboards, which do not focus the teacher on the thinking of the student, but rather on data compliance. One seventh-grade math teacher said: "I am so preoccupied with making my rate of intervention be within the </w:t>
      </w:r>
      <w:r w:rsidRPr="00C94197">
        <w:rPr>
          <w:rFonts w:asciiTheme="majorHAnsi" w:hAnsiTheme="majorHAnsi" w:cs="Times New Roman"/>
        </w:rPr>
        <w:lastRenderedPageBreak/>
        <w:t>green zone that I do not get time to hear how students are actually thinking about fractions. The panic flags that are part of the platform put nurses in a state of continuous crisis, which does not allow them to engage in the deep professional reflection taught by Schoen (1984) as the key aspect of expertise development. The teachers claimed that their work is to simply click what the algorithm informs them to click, which turned pedagogical choices into data input.</w:t>
      </w:r>
    </w:p>
    <w:p w14:paraId="075496B2"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coherence of curricula is harmed especially. When the pacing is operated by platforms, the teachers are not able to build interdisciplinary links or react to the ongoing events. One of the teachers of social studies observed: We were learning about voting rights, and the algorithm recommended that my students have more practice with multiplication. I was not able to relate math and the history as the platform blocked the schedule. This disintegration invades the epistemic power of teachers - of their ability to decide on what they think is important and how to structure that knowledge.</w:t>
      </w:r>
    </w:p>
    <w:p w14:paraId="5325CDE1"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Pedagogical colonization in the form of algorithmic determinism occurs in students. Students are conditioned to believe that the algorithm has a better understanding of their capabilities than they themselves do. In a published study (De Laet et al., 2020), one of the ninth-graders said: The computer tells me I am not ready to do geometry, and, therefore, I am not a math person. This takes over student identity formation to the point of labeling the growth mindset with algorithms. The personalization of the platforms is actually homogenizing ironically all students are being given differentiated content algorithmically, yet all in the preestablished model of the vendor, which represents white and middle-class values.</w:t>
      </w:r>
    </w:p>
    <w:p w14:paraId="6C5818D0" w14:textId="77777777" w:rsidR="00C94197" w:rsidRPr="00C94197" w:rsidRDefault="00C94197" w:rsidP="00C94197">
      <w:pPr>
        <w:spacing w:line="240" w:lineRule="auto"/>
        <w:jc w:val="both"/>
        <w:rPr>
          <w:rFonts w:asciiTheme="majorHAnsi" w:hAnsiTheme="majorHAnsi" w:cs="Times New Roman"/>
          <w:b/>
        </w:rPr>
      </w:pPr>
      <w:r w:rsidRPr="00C94197">
        <w:rPr>
          <w:rFonts w:asciiTheme="majorHAnsi" w:hAnsiTheme="majorHAnsi" w:cs="Times New Roman"/>
          <w:b/>
        </w:rPr>
        <w:t>Critical Race Digital Studies: How Colonization Enhances Racial Inequity.</w:t>
      </w:r>
    </w:p>
    <w:p w14:paraId="0ABCC8D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Critical Race Digital Studies discloses the intensifying of racial inequity through these mechanisms of colonization that encode white supremacy on technical infrastructure. Majority white and middle-class platforms socialize linguistic and cultural prejudices that serve to punish marginalized students. Science of reading AI identifies dialectal variation as reading disability in a systematically misdiagnosing way, where Black students are placed in remedial courses 2.5 times more often (Stanford Law, 2024). This is the convergence of interests in utopia, equity rhetoric seeking state subsidies and algorithmic design duplicating stratification that keeps investor markets addictive products.</w:t>
      </w:r>
    </w:p>
    <w:p w14:paraId="0772B64F"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data colonialism model sheds light on how the racialized bodies can be used as a location where extraction is intensified. Black and Latin-X students create more behavioral data since the platforms label them as risk at a rate higher than students of color, and this is a feedback loop where perceived lack is seen as an excuse to police them even more. An investigation of predictive analytics in the system of Infinite Campus in Nevada discovered that the algorithm was 67% more likely to label Black students with the label of not on track to graduate in contrast to 23% of white students, leading to heavy data gathering which further input into the algorithm, recreating its own biases (Stanford Law, 2024).</w:t>
      </w:r>
    </w:p>
    <w:p w14:paraId="56C89704"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NLP algorithms are especially susceptible to linguistic bias that generates very insidious discrimination. The e-rater engine of the Educational Testing Service, which most of the states use in the standardized writing tests, was discovered to discriminate against African American students by marking down the rhetorical styles which do not conform to the standard English (ScienceDirect, 2024). The algorithm categorized the writing features affected by AAVE as grammar errors 3.4 times more extensively than the writing of white students, which directly decreases test scores that define course placement. And that is not coincidental prejudice, that is systemic racism written into the training data and in the validation procedures that consider the language of white middle classes as neutral and optimal.</w:t>
      </w:r>
    </w:p>
    <w:p w14:paraId="685655A2"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Racial inequity is complicated with disability discrimination. Remote proctoring algorithms are more likely to flag students with disabilities, and especially neurodivergent students whose fidgeting or eye-tracking behavior contravene the normative behavioral parameters. Only 58 percent of students with ADHD were reported on one platform as suspicious behavior as opposed to 9 percent of students without ADHD (Center for Democracy &amp; Technology, 2021). The discrimination is even worse when both race and disability collide: Black students who were disabled were marked at 78 percent rates, and this has led to what is sometimes referred to as digital Jim </w:t>
      </w:r>
      <w:r w:rsidRPr="00C94197">
        <w:rPr>
          <w:rFonts w:asciiTheme="majorHAnsi" w:hAnsiTheme="majorHAnsi" w:cs="Times New Roman"/>
        </w:rPr>
        <w:lastRenderedPageBreak/>
        <w:t>Crow students are systematically locked out of opportunities by the algorithms based on various categories of marginalized identities.</w:t>
      </w:r>
    </w:p>
    <w:p w14:paraId="5320183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interest convergence dynamic is carried out by a complex marketing which usurps the language of civil rights. Platforms promote the achievement gap is closing whereas the indenture of contract forbids bias audit, which would disclose the gap-enhancing impacts. In the Equity &amp; Inclusion webpage, PowerSchool includes a variety of students and the terms of service states that the waist of rights given to the district are necessary to review whether the algorithms created by the company have disparate impact. This is similar to the past trends where colonial states promised civilization as they were robbing the state. The guidance of the U.S. Department of Education does not deny this risk as it states that bias is inherent to the development of AI algorithms based on historical information (U.S. DOE, 2023), however has no implementation mechanism to avoid discriminatory use.</w:t>
      </w:r>
    </w:p>
    <w:p w14:paraId="114EEE0C"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b/>
          <w:bCs/>
        </w:rPr>
        <w:t>Procurement Framework Failure as Enabling Mechanism</w:t>
      </w:r>
    </w:p>
    <w:p w14:paraId="1C0F0EF0" w14:textId="77777777" w:rsid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The results prove that venture capital is the colonizing power in the field of public education by means of juridical, technical, and pedagogical processes that substantially alter the governing relationships. Contracts act as treaties to give up sovereignty to get access to technology, and with endless data terms, extractive legal systems are formed in which student relations turn into vendor assets. Platform architectures implement a dependency strategy by restricting API usage and using data formats that are not portable, and algorithmic governance replaces teacher judgment offering vendor-designed learning sequences as neutral and optimal.</w:t>
      </w:r>
    </w:p>
    <w:p w14:paraId="08BCD918" w14:textId="77777777" w:rsidR="00C94197" w:rsidRPr="00C94197" w:rsidRDefault="00C94197" w:rsidP="00C94197">
      <w:pPr>
        <w:spacing w:line="240" w:lineRule="auto"/>
        <w:jc w:val="both"/>
        <w:rPr>
          <w:rFonts w:asciiTheme="majorHAnsi" w:hAnsiTheme="majorHAnsi" w:cs="Times New Roman"/>
          <w:b/>
        </w:rPr>
      </w:pPr>
      <w:r w:rsidRPr="00C94197">
        <w:rPr>
          <w:rFonts w:asciiTheme="majorHAnsi" w:hAnsiTheme="majorHAnsi" w:cs="Times New Roman"/>
          <w:b/>
        </w:rPr>
        <w:t xml:space="preserve">Conclusion </w:t>
      </w:r>
    </w:p>
    <w:p w14:paraId="4FE12145" w14:textId="77777777" w:rsidR="00C94197" w:rsidRPr="00C94197" w:rsidRDefault="00C94197" w:rsidP="00C94197">
      <w:pPr>
        <w:pStyle w:val="NormalWeb"/>
        <w:jc w:val="both"/>
        <w:rPr>
          <w:rFonts w:asciiTheme="majorHAnsi" w:hAnsiTheme="majorHAnsi"/>
          <w:sz w:val="22"/>
          <w:szCs w:val="22"/>
        </w:rPr>
      </w:pPr>
      <w:r w:rsidRPr="00C94197">
        <w:rPr>
          <w:rFonts w:asciiTheme="majorHAnsi" w:hAnsiTheme="majorHAnsi"/>
          <w:sz w:val="22"/>
          <w:szCs w:val="22"/>
        </w:rPr>
        <w:t>The findings underscore the pervasive impact of venture capital and EdTech vendors in transforming public education through juridical, technical, and pedagogical colonization. These mechanisms, encapsulated in contractual agreements, data terms, and platform architectures, result in the erosion of educational sovereignty, where student data becomes commodified and vendor platforms dictate the educational processes. The analysis highlights how juridical colonization through one-sided contracts mirrors historical colonial treaties, creating an imbalance of power where districts are forced to surrender control over student data and decision-making. Moreover, technical colonization, driven by proprietary data formats and restrictive APIs, reinforces this dependency by making educational systems reliant on vendor-controlled infrastructures. Pedagogical colonization further deepens this issue by reducing teacher autonomy and replacing their professional judgment with algorithmically-determined learning paths. The role of Critical Race Digital Studies exposes how these processes exacerbate racial and disability inequities, illustrating the biases embedded in EdTech platforms that disproportionately affect marginalized students. Ultimately, the research reveals the failure of procurement frameworks to protect educational institutions from the detrimental effects of corporate interests, thereby perpetuating a cycle of colonization that undermines both educational equity and pedagogical integrity.</w:t>
      </w:r>
    </w:p>
    <w:p w14:paraId="0AC62CB6" w14:textId="77777777" w:rsidR="00C94197" w:rsidRPr="00C94197" w:rsidRDefault="00C94197" w:rsidP="00C94197">
      <w:pPr>
        <w:spacing w:line="240" w:lineRule="auto"/>
        <w:jc w:val="both"/>
        <w:rPr>
          <w:rFonts w:asciiTheme="majorHAnsi" w:hAnsiTheme="majorHAnsi" w:cs="Times New Roman"/>
          <w:b/>
          <w:bCs/>
        </w:rPr>
      </w:pPr>
      <w:r w:rsidRPr="00C94197">
        <w:rPr>
          <w:rFonts w:asciiTheme="majorHAnsi" w:hAnsiTheme="majorHAnsi" w:cs="Times New Roman"/>
          <w:b/>
          <w:bCs/>
        </w:rPr>
        <w:t>References</w:t>
      </w:r>
    </w:p>
    <w:p w14:paraId="6FADF105"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Ball, S. J. (1994). </w:t>
      </w:r>
      <w:r w:rsidRPr="00C94197">
        <w:rPr>
          <w:rFonts w:asciiTheme="majorHAnsi" w:hAnsiTheme="majorHAnsi" w:cs="Times New Roman"/>
          <w:i/>
          <w:iCs/>
        </w:rPr>
        <w:t>Education reform: A critical and post-structural approach</w:t>
      </w:r>
      <w:r w:rsidRPr="00C94197">
        <w:rPr>
          <w:rFonts w:asciiTheme="majorHAnsi" w:hAnsiTheme="majorHAnsi" w:cs="Times New Roman"/>
        </w:rPr>
        <w:t>. Open University Press.</w:t>
      </w:r>
    </w:p>
    <w:p w14:paraId="7F0441C7" w14:textId="77777777" w:rsidR="00C94197" w:rsidRPr="00C94197" w:rsidRDefault="00C94197" w:rsidP="00C94197">
      <w:pPr>
        <w:spacing w:line="240" w:lineRule="auto"/>
        <w:jc w:val="both"/>
        <w:rPr>
          <w:rFonts w:asciiTheme="majorHAnsi" w:hAnsiTheme="majorHAnsi" w:cs="Times New Roman"/>
        </w:rPr>
      </w:pPr>
      <w:proofErr w:type="spellStart"/>
      <w:r w:rsidRPr="00C94197">
        <w:rPr>
          <w:rFonts w:asciiTheme="majorHAnsi" w:hAnsiTheme="majorHAnsi" w:cs="Times New Roman"/>
        </w:rPr>
        <w:t>Bulathwela</w:t>
      </w:r>
      <w:proofErr w:type="spellEnd"/>
      <w:r w:rsidRPr="00C94197">
        <w:rPr>
          <w:rFonts w:asciiTheme="majorHAnsi" w:hAnsiTheme="majorHAnsi" w:cs="Times New Roman"/>
        </w:rPr>
        <w:t xml:space="preserve">, S., Pérez-Ortiz, M., Shawe-Taylor, J., &amp; Riedel, S. (2024). AI alone will not democratize education: A systematic review of bias in adaptive learning systems. </w:t>
      </w:r>
      <w:r w:rsidRPr="00C94197">
        <w:rPr>
          <w:rFonts w:asciiTheme="majorHAnsi" w:hAnsiTheme="majorHAnsi" w:cs="Times New Roman"/>
          <w:i/>
          <w:iCs/>
        </w:rPr>
        <w:t>AI &amp; Society</w:t>
      </w:r>
      <w:r w:rsidRPr="00C94197">
        <w:rPr>
          <w:rFonts w:asciiTheme="majorHAnsi" w:hAnsiTheme="majorHAnsi" w:cs="Times New Roman"/>
        </w:rPr>
        <w:t>, 39(2), 545-562.</w:t>
      </w:r>
    </w:p>
    <w:p w14:paraId="615C5DF6"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Center for Democracy &amp; Technology. (2021). </w:t>
      </w:r>
      <w:r w:rsidRPr="00C94197">
        <w:rPr>
          <w:rFonts w:asciiTheme="majorHAnsi" w:hAnsiTheme="majorHAnsi" w:cs="Times New Roman"/>
          <w:i/>
          <w:iCs/>
        </w:rPr>
        <w:t>Protecting student privacy and ensuring equitable algorithmic systems in education</w:t>
      </w:r>
      <w:r w:rsidRPr="00C94197">
        <w:rPr>
          <w:rFonts w:asciiTheme="majorHAnsi" w:hAnsiTheme="majorHAnsi" w:cs="Times New Roman"/>
        </w:rPr>
        <w:t xml:space="preserve">. </w:t>
      </w:r>
      <w:hyperlink r:id="rId15" w:tgtFrame="_blank" w:history="1">
        <w:r w:rsidRPr="00C94197">
          <w:rPr>
            <w:rStyle w:val="Hyperlink"/>
            <w:rFonts w:asciiTheme="majorHAnsi" w:hAnsiTheme="majorHAnsi" w:cs="Times New Roman"/>
          </w:rPr>
          <w:t>https://cdt.org/insights/protecting-student-privacy-and-ensuring-equitable-algorithmic-systems-in-education/</w:t>
        </w:r>
      </w:hyperlink>
    </w:p>
    <w:p w14:paraId="2F8D8B26"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Chiu, T. K., Lin, T. J., &amp; Lonka, K. (2025). Artificial intelligence in adaptive education: A systematic review. </w:t>
      </w:r>
      <w:r w:rsidRPr="00C94197">
        <w:rPr>
          <w:rFonts w:asciiTheme="majorHAnsi" w:hAnsiTheme="majorHAnsi" w:cs="Times New Roman"/>
          <w:i/>
          <w:iCs/>
        </w:rPr>
        <w:t>Springer</w:t>
      </w:r>
      <w:r w:rsidRPr="00C94197">
        <w:rPr>
          <w:rFonts w:asciiTheme="majorHAnsi" w:hAnsiTheme="majorHAnsi" w:cs="Times New Roman"/>
        </w:rPr>
        <w:t xml:space="preserve">. </w:t>
      </w:r>
      <w:hyperlink r:id="rId16" w:tgtFrame="_blank" w:history="1">
        <w:r w:rsidRPr="00C94197">
          <w:rPr>
            <w:rStyle w:val="Hyperlink"/>
            <w:rFonts w:asciiTheme="majorHAnsi" w:hAnsiTheme="majorHAnsi" w:cs="Times New Roman"/>
          </w:rPr>
          <w:t>https://link.springer.com/article/10.1007/s44217-025-00908-6</w:t>
        </w:r>
      </w:hyperlink>
    </w:p>
    <w:p w14:paraId="641FF00B"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De Laet, R., van Dijk, L., &amp; van den Berg, S. (2020). Teacher agency in the age of datafication. </w:t>
      </w:r>
      <w:r w:rsidRPr="00C94197">
        <w:rPr>
          <w:rFonts w:asciiTheme="majorHAnsi" w:hAnsiTheme="majorHAnsi" w:cs="Times New Roman"/>
          <w:i/>
          <w:iCs/>
        </w:rPr>
        <w:t>Learning, Media and Technology</w:t>
      </w:r>
      <w:r w:rsidRPr="00C94197">
        <w:rPr>
          <w:rFonts w:asciiTheme="majorHAnsi" w:hAnsiTheme="majorHAnsi" w:cs="Times New Roman"/>
        </w:rPr>
        <w:t>, 45(3), 301-316.</w:t>
      </w:r>
    </w:p>
    <w:p w14:paraId="3848BB86"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lastRenderedPageBreak/>
        <w:t xml:space="preserve">Digital Promise. (2021). </w:t>
      </w:r>
      <w:r w:rsidRPr="00C94197">
        <w:rPr>
          <w:rFonts w:asciiTheme="majorHAnsi" w:hAnsiTheme="majorHAnsi" w:cs="Times New Roman"/>
          <w:i/>
          <w:iCs/>
        </w:rPr>
        <w:t>What do edtech and AI have to do with racial bias?</w:t>
      </w:r>
      <w:r w:rsidRPr="00C94197">
        <w:rPr>
          <w:rFonts w:asciiTheme="majorHAnsi" w:hAnsiTheme="majorHAnsi" w:cs="Times New Roman"/>
        </w:rPr>
        <w:t xml:space="preserve"> </w:t>
      </w:r>
      <w:hyperlink r:id="rId17" w:tgtFrame="_blank" w:history="1">
        <w:r w:rsidRPr="00C94197">
          <w:rPr>
            <w:rStyle w:val="Hyperlink"/>
            <w:rFonts w:asciiTheme="majorHAnsi" w:hAnsiTheme="majorHAnsi" w:cs="Times New Roman"/>
          </w:rPr>
          <w:t>https://digitalpromise.org/2021/10/28/what-do-edtech-and-ai-have-to-do-with-race-bias/</w:t>
        </w:r>
      </w:hyperlink>
    </w:p>
    <w:p w14:paraId="594EE23D"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Flyer One Ventures. (2024). </w:t>
      </w:r>
      <w:r w:rsidRPr="00C94197">
        <w:rPr>
          <w:rFonts w:asciiTheme="majorHAnsi" w:hAnsiTheme="majorHAnsi" w:cs="Times New Roman"/>
          <w:i/>
          <w:iCs/>
        </w:rPr>
        <w:t>F1V report: All you need to know about edtech in 2024</w:t>
      </w:r>
      <w:r w:rsidRPr="00C94197">
        <w:rPr>
          <w:rFonts w:asciiTheme="majorHAnsi" w:hAnsiTheme="majorHAnsi" w:cs="Times New Roman"/>
        </w:rPr>
        <w:t xml:space="preserve">. </w:t>
      </w:r>
      <w:hyperlink r:id="rId18" w:tgtFrame="_blank" w:history="1">
        <w:r w:rsidRPr="00C94197">
          <w:rPr>
            <w:rStyle w:val="Hyperlink"/>
            <w:rFonts w:asciiTheme="majorHAnsi" w:hAnsiTheme="majorHAnsi" w:cs="Times New Roman"/>
          </w:rPr>
          <w:t>https://flyerone.vc/post/f1v-report-all-you-need-to-know-about-edtech-in-2024-infographics</w:t>
        </w:r>
      </w:hyperlink>
    </w:p>
    <w:p w14:paraId="424A20D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Grand View Research. (2025). </w:t>
      </w:r>
      <w:r w:rsidRPr="00C94197">
        <w:rPr>
          <w:rFonts w:asciiTheme="majorHAnsi" w:hAnsiTheme="majorHAnsi" w:cs="Times New Roman"/>
          <w:i/>
          <w:iCs/>
        </w:rPr>
        <w:t>Education technology market size, share &amp; trends analysis report</w:t>
      </w:r>
      <w:r w:rsidRPr="00C94197">
        <w:rPr>
          <w:rFonts w:asciiTheme="majorHAnsi" w:hAnsiTheme="majorHAnsi" w:cs="Times New Roman"/>
        </w:rPr>
        <w:t xml:space="preserve">. </w:t>
      </w:r>
      <w:hyperlink r:id="rId19" w:tgtFrame="_blank" w:history="1">
        <w:r w:rsidRPr="00C94197">
          <w:rPr>
            <w:rStyle w:val="Hyperlink"/>
            <w:rFonts w:asciiTheme="majorHAnsi" w:hAnsiTheme="majorHAnsi" w:cs="Times New Roman"/>
          </w:rPr>
          <w:t>www.grandviewresearch.com/industry-analysis/education-technology-market</w:t>
        </w:r>
      </w:hyperlink>
    </w:p>
    <w:p w14:paraId="30DABA6A"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Growth Equity Interview Guide. (2025). </w:t>
      </w:r>
      <w:r w:rsidRPr="00C94197">
        <w:rPr>
          <w:rFonts w:asciiTheme="majorHAnsi" w:hAnsiTheme="majorHAnsi" w:cs="Times New Roman"/>
          <w:i/>
          <w:iCs/>
        </w:rPr>
        <w:t>Ed tech venture capital: Trends, exits, and hotspots</w:t>
      </w:r>
      <w:r w:rsidRPr="00C94197">
        <w:rPr>
          <w:rFonts w:asciiTheme="majorHAnsi" w:hAnsiTheme="majorHAnsi" w:cs="Times New Roman"/>
        </w:rPr>
        <w:t xml:space="preserve">. </w:t>
      </w:r>
      <w:hyperlink r:id="rId20" w:tgtFrame="_blank" w:history="1">
        <w:r w:rsidRPr="00C94197">
          <w:rPr>
            <w:rStyle w:val="Hyperlink"/>
            <w:rFonts w:asciiTheme="majorHAnsi" w:hAnsiTheme="majorHAnsi" w:cs="Times New Roman"/>
          </w:rPr>
          <w:t>https://www.growthequityinterviewguide.com/venture-capital/sector-focused-venture-capital/ed-tech-venture-capital</w:t>
        </w:r>
      </w:hyperlink>
    </w:p>
    <w:p w14:paraId="522E33F9" w14:textId="77777777" w:rsidR="00C94197" w:rsidRPr="00C94197" w:rsidRDefault="00C94197" w:rsidP="00C94197">
      <w:pPr>
        <w:spacing w:line="240" w:lineRule="auto"/>
        <w:jc w:val="both"/>
        <w:rPr>
          <w:rFonts w:asciiTheme="majorHAnsi" w:hAnsiTheme="majorHAnsi" w:cs="Times New Roman"/>
        </w:rPr>
      </w:pPr>
      <w:proofErr w:type="spellStart"/>
      <w:r w:rsidRPr="00C94197">
        <w:rPr>
          <w:rFonts w:asciiTheme="majorHAnsi" w:hAnsiTheme="majorHAnsi" w:cs="Times New Roman"/>
        </w:rPr>
        <w:t>Herodotou</w:t>
      </w:r>
      <w:proofErr w:type="spellEnd"/>
      <w:r w:rsidRPr="00C94197">
        <w:rPr>
          <w:rFonts w:asciiTheme="majorHAnsi" w:hAnsiTheme="majorHAnsi" w:cs="Times New Roman"/>
        </w:rPr>
        <w:t xml:space="preserve">, C., </w:t>
      </w:r>
      <w:proofErr w:type="spellStart"/>
      <w:r w:rsidRPr="00C94197">
        <w:rPr>
          <w:rFonts w:asciiTheme="majorHAnsi" w:hAnsiTheme="majorHAnsi" w:cs="Times New Roman"/>
        </w:rPr>
        <w:t>Hlosta</w:t>
      </w:r>
      <w:proofErr w:type="spellEnd"/>
      <w:r w:rsidRPr="00C94197">
        <w:rPr>
          <w:rFonts w:asciiTheme="majorHAnsi" w:hAnsiTheme="majorHAnsi" w:cs="Times New Roman"/>
        </w:rPr>
        <w:t xml:space="preserve">, M., </w:t>
      </w:r>
      <w:proofErr w:type="spellStart"/>
      <w:r w:rsidRPr="00C94197">
        <w:rPr>
          <w:rFonts w:asciiTheme="majorHAnsi" w:hAnsiTheme="majorHAnsi" w:cs="Times New Roman"/>
        </w:rPr>
        <w:t>Boroowa</w:t>
      </w:r>
      <w:proofErr w:type="spellEnd"/>
      <w:r w:rsidRPr="00C94197">
        <w:rPr>
          <w:rFonts w:asciiTheme="majorHAnsi" w:hAnsiTheme="majorHAnsi" w:cs="Times New Roman"/>
        </w:rPr>
        <w:t xml:space="preserve">, A., </w:t>
      </w:r>
      <w:proofErr w:type="spellStart"/>
      <w:r w:rsidRPr="00C94197">
        <w:rPr>
          <w:rFonts w:asciiTheme="majorHAnsi" w:hAnsiTheme="majorHAnsi" w:cs="Times New Roman"/>
        </w:rPr>
        <w:t>Rienties</w:t>
      </w:r>
      <w:proofErr w:type="spellEnd"/>
      <w:r w:rsidRPr="00C94197">
        <w:rPr>
          <w:rFonts w:asciiTheme="majorHAnsi" w:hAnsiTheme="majorHAnsi" w:cs="Times New Roman"/>
        </w:rPr>
        <w:t xml:space="preserve">, B., &amp; </w:t>
      </w:r>
      <w:proofErr w:type="spellStart"/>
      <w:r w:rsidRPr="00C94197">
        <w:rPr>
          <w:rFonts w:asciiTheme="majorHAnsi" w:hAnsiTheme="majorHAnsi" w:cs="Times New Roman"/>
        </w:rPr>
        <w:t>Zdrahal</w:t>
      </w:r>
      <w:proofErr w:type="spellEnd"/>
      <w:r w:rsidRPr="00C94197">
        <w:rPr>
          <w:rFonts w:asciiTheme="majorHAnsi" w:hAnsiTheme="majorHAnsi" w:cs="Times New Roman"/>
        </w:rPr>
        <w:t xml:space="preserve">, Z. (2019). Predictive modeling of student success and retention using machine learning. </w:t>
      </w:r>
      <w:r w:rsidRPr="00C94197">
        <w:rPr>
          <w:rFonts w:asciiTheme="majorHAnsi" w:hAnsiTheme="majorHAnsi" w:cs="Times New Roman"/>
          <w:i/>
          <w:iCs/>
        </w:rPr>
        <w:t>Computers &amp; Education</w:t>
      </w:r>
      <w:r w:rsidRPr="00C94197">
        <w:rPr>
          <w:rFonts w:asciiTheme="majorHAnsi" w:hAnsiTheme="majorHAnsi" w:cs="Times New Roman"/>
        </w:rPr>
        <w:t>, 142, 103608.</w:t>
      </w:r>
    </w:p>
    <w:p w14:paraId="518CAB87" w14:textId="77777777" w:rsidR="00C94197" w:rsidRPr="00C94197" w:rsidRDefault="00C94197" w:rsidP="00C94197">
      <w:pPr>
        <w:spacing w:line="240" w:lineRule="auto"/>
        <w:jc w:val="both"/>
        <w:rPr>
          <w:rFonts w:asciiTheme="majorHAnsi" w:hAnsiTheme="majorHAnsi" w:cs="Times New Roman"/>
        </w:rPr>
      </w:pPr>
      <w:proofErr w:type="spellStart"/>
      <w:r w:rsidRPr="00C94197">
        <w:rPr>
          <w:rFonts w:asciiTheme="majorHAnsi" w:hAnsiTheme="majorHAnsi" w:cs="Times New Roman"/>
        </w:rPr>
        <w:t>HolonIQ</w:t>
      </w:r>
      <w:proofErr w:type="spellEnd"/>
      <w:r w:rsidRPr="00C94197">
        <w:rPr>
          <w:rFonts w:asciiTheme="majorHAnsi" w:hAnsiTheme="majorHAnsi" w:cs="Times New Roman"/>
        </w:rPr>
        <w:t xml:space="preserve">. (2025). </w:t>
      </w:r>
      <w:r w:rsidRPr="00C94197">
        <w:rPr>
          <w:rFonts w:asciiTheme="majorHAnsi" w:hAnsiTheme="majorHAnsi" w:cs="Times New Roman"/>
          <w:i/>
          <w:iCs/>
        </w:rPr>
        <w:t>EdTech VC reached $2.4B for 2024, representing the lowest level of investment in a decade</w:t>
      </w:r>
      <w:r w:rsidRPr="00C94197">
        <w:rPr>
          <w:rFonts w:asciiTheme="majorHAnsi" w:hAnsiTheme="majorHAnsi" w:cs="Times New Roman"/>
        </w:rPr>
        <w:t xml:space="preserve">. </w:t>
      </w:r>
      <w:hyperlink r:id="rId21" w:tgtFrame="_blank" w:history="1">
        <w:r w:rsidRPr="00C94197">
          <w:rPr>
            <w:rStyle w:val="Hyperlink"/>
            <w:rFonts w:asciiTheme="majorHAnsi" w:hAnsiTheme="majorHAnsi" w:cs="Times New Roman"/>
          </w:rPr>
          <w:t>www.holoniq.com/notes/edtech-vc-reached-2-4b-for-2024-representing-the-lowest-level-of-investment-in-a-decade</w:t>
        </w:r>
      </w:hyperlink>
    </w:p>
    <w:p w14:paraId="1C9D2C3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Khan Academy. (2024). </w:t>
      </w:r>
      <w:r w:rsidRPr="00C94197">
        <w:rPr>
          <w:rFonts w:asciiTheme="majorHAnsi" w:hAnsiTheme="majorHAnsi" w:cs="Times New Roman"/>
          <w:i/>
          <w:iCs/>
        </w:rPr>
        <w:t>Khan Academy efficacy results, November 2024</w:t>
      </w:r>
      <w:r w:rsidRPr="00C94197">
        <w:rPr>
          <w:rFonts w:asciiTheme="majorHAnsi" w:hAnsiTheme="majorHAnsi" w:cs="Times New Roman"/>
        </w:rPr>
        <w:t>. blog.khanacademy.org/khan-academy-efficacy-results-november-2024/</w:t>
      </w:r>
    </w:p>
    <w:p w14:paraId="54B703F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Market Growth Reports. (2025). </w:t>
      </w:r>
      <w:r w:rsidRPr="00C94197">
        <w:rPr>
          <w:rFonts w:asciiTheme="majorHAnsi" w:hAnsiTheme="majorHAnsi" w:cs="Times New Roman"/>
          <w:i/>
          <w:iCs/>
        </w:rPr>
        <w:t>Education technology (Ed Tech) market size, share &amp; growth report</w:t>
      </w:r>
      <w:r w:rsidRPr="00C94197">
        <w:rPr>
          <w:rFonts w:asciiTheme="majorHAnsi" w:hAnsiTheme="majorHAnsi" w:cs="Times New Roman"/>
        </w:rPr>
        <w:t xml:space="preserve">. </w:t>
      </w:r>
      <w:hyperlink r:id="rId22" w:tgtFrame="_blank" w:history="1">
        <w:r w:rsidRPr="00C94197">
          <w:rPr>
            <w:rStyle w:val="Hyperlink"/>
            <w:rFonts w:asciiTheme="majorHAnsi" w:hAnsiTheme="majorHAnsi" w:cs="Times New Roman"/>
          </w:rPr>
          <w:t>www.marketgrowthreports.com/market-reports/education-technology-ed-tech-market-114977</w:t>
        </w:r>
      </w:hyperlink>
    </w:p>
    <w:p w14:paraId="0C1FF27A"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Minnesota Department of Education. (2024). </w:t>
      </w:r>
      <w:r w:rsidRPr="00C94197">
        <w:rPr>
          <w:rFonts w:asciiTheme="majorHAnsi" w:hAnsiTheme="majorHAnsi" w:cs="Times New Roman"/>
          <w:i/>
          <w:iCs/>
        </w:rPr>
        <w:t>Guiding principles for artificial intelligence in education</w:t>
      </w:r>
      <w:r w:rsidRPr="00C94197">
        <w:rPr>
          <w:rFonts w:asciiTheme="majorHAnsi" w:hAnsiTheme="majorHAnsi" w:cs="Times New Roman"/>
        </w:rPr>
        <w:t>. education.mn.gov/MDE/</w:t>
      </w:r>
      <w:proofErr w:type="spellStart"/>
      <w:r w:rsidRPr="00C94197">
        <w:rPr>
          <w:rFonts w:asciiTheme="majorHAnsi" w:hAnsiTheme="majorHAnsi" w:cs="Times New Roman"/>
        </w:rPr>
        <w:t>dse</w:t>
      </w:r>
      <w:proofErr w:type="spellEnd"/>
      <w:r w:rsidRPr="00C94197">
        <w:rPr>
          <w:rFonts w:asciiTheme="majorHAnsi" w:hAnsiTheme="majorHAnsi" w:cs="Times New Roman"/>
        </w:rPr>
        <w:t>/tech/AI/</w:t>
      </w:r>
      <w:proofErr w:type="spellStart"/>
      <w:r w:rsidRPr="00C94197">
        <w:rPr>
          <w:rFonts w:asciiTheme="majorHAnsi" w:hAnsiTheme="majorHAnsi" w:cs="Times New Roman"/>
        </w:rPr>
        <w:t>AIEd</w:t>
      </w:r>
      <w:proofErr w:type="spellEnd"/>
      <w:r w:rsidRPr="00C94197">
        <w:rPr>
          <w:rFonts w:asciiTheme="majorHAnsi" w:hAnsiTheme="majorHAnsi" w:cs="Times New Roman"/>
        </w:rPr>
        <w:t>/</w:t>
      </w:r>
    </w:p>
    <w:p w14:paraId="40A5DA55"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Mullan, J., &amp; Taddese, A. (2020). </w:t>
      </w:r>
      <w:r w:rsidRPr="00C94197">
        <w:rPr>
          <w:rFonts w:asciiTheme="majorHAnsi" w:hAnsiTheme="majorHAnsi" w:cs="Times New Roman"/>
          <w:i/>
          <w:iCs/>
        </w:rPr>
        <w:t>EdTech in Sierra Leone: A rapid scan</w:t>
      </w:r>
      <w:r w:rsidRPr="00C94197">
        <w:rPr>
          <w:rFonts w:asciiTheme="majorHAnsi" w:hAnsiTheme="majorHAnsi" w:cs="Times New Roman"/>
        </w:rPr>
        <w:t xml:space="preserve">. EdTech Hub. </w:t>
      </w:r>
      <w:hyperlink r:id="rId23" w:tgtFrame="_blank" w:history="1">
        <w:r w:rsidRPr="00C94197">
          <w:rPr>
            <w:rStyle w:val="Hyperlink"/>
            <w:rFonts w:asciiTheme="majorHAnsi" w:hAnsiTheme="majorHAnsi" w:cs="Times New Roman"/>
          </w:rPr>
          <w:t>https://docs.edtechhub.org/lib/C5MWWQI2</w:t>
        </w:r>
      </w:hyperlink>
    </w:p>
    <w:p w14:paraId="35B5C892"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Noble, S. U., &amp; Roberts, S. T. (2023). </w:t>
      </w:r>
      <w:r w:rsidRPr="00C94197">
        <w:rPr>
          <w:rFonts w:asciiTheme="majorHAnsi" w:hAnsiTheme="majorHAnsi" w:cs="Times New Roman"/>
          <w:i/>
          <w:iCs/>
        </w:rPr>
        <w:t>The end of trust: How Big Tech monetizes inequality</w:t>
      </w:r>
      <w:r w:rsidRPr="00C94197">
        <w:rPr>
          <w:rFonts w:asciiTheme="majorHAnsi" w:hAnsiTheme="majorHAnsi" w:cs="Times New Roman"/>
        </w:rPr>
        <w:t>. UCLA Center for Critical Internet Inquiry.</w:t>
      </w:r>
    </w:p>
    <w:p w14:paraId="19DC4CC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O'Neil, C. (2016). </w:t>
      </w:r>
      <w:r w:rsidRPr="00C94197">
        <w:rPr>
          <w:rFonts w:asciiTheme="majorHAnsi" w:hAnsiTheme="majorHAnsi" w:cs="Times New Roman"/>
          <w:i/>
          <w:iCs/>
        </w:rPr>
        <w:t>Weapons of math destruction: How big data increases inequality and threatens democracy</w:t>
      </w:r>
      <w:r w:rsidRPr="00C94197">
        <w:rPr>
          <w:rFonts w:asciiTheme="majorHAnsi" w:hAnsiTheme="majorHAnsi" w:cs="Times New Roman"/>
        </w:rPr>
        <w:t>. Crown.</w:t>
      </w:r>
    </w:p>
    <w:p w14:paraId="337A2990"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Penn State University. (2022). </w:t>
      </w:r>
      <w:r w:rsidRPr="00C94197">
        <w:rPr>
          <w:rFonts w:asciiTheme="majorHAnsi" w:hAnsiTheme="majorHAnsi" w:cs="Times New Roman"/>
          <w:i/>
          <w:iCs/>
        </w:rPr>
        <w:t>AI language models show bias against people with disabilities</w:t>
      </w:r>
      <w:r w:rsidRPr="00C94197">
        <w:rPr>
          <w:rFonts w:asciiTheme="majorHAnsi" w:hAnsiTheme="majorHAnsi" w:cs="Times New Roman"/>
        </w:rPr>
        <w:t xml:space="preserve">. </w:t>
      </w:r>
      <w:hyperlink r:id="rId24" w:tgtFrame="_blank" w:history="1">
        <w:r w:rsidRPr="00C94197">
          <w:rPr>
            <w:rStyle w:val="Hyperlink"/>
            <w:rFonts w:asciiTheme="majorHAnsi" w:hAnsiTheme="majorHAnsi" w:cs="Times New Roman"/>
          </w:rPr>
          <w:t>www.psu.edu/news/information-sciences-and-technology/story/ai-language-models-show-bias-against-people-disabilities</w:t>
        </w:r>
      </w:hyperlink>
    </w:p>
    <w:p w14:paraId="709946C9"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Schön, D. A. (1984). </w:t>
      </w:r>
      <w:r w:rsidRPr="00C94197">
        <w:rPr>
          <w:rFonts w:asciiTheme="majorHAnsi" w:hAnsiTheme="majorHAnsi" w:cs="Times New Roman"/>
          <w:i/>
          <w:iCs/>
        </w:rPr>
        <w:t>The reflective practitioner: How professionals think in action</w:t>
      </w:r>
      <w:r w:rsidRPr="00C94197">
        <w:rPr>
          <w:rFonts w:asciiTheme="majorHAnsi" w:hAnsiTheme="majorHAnsi" w:cs="Times New Roman"/>
        </w:rPr>
        <w:t>. Basic Books.</w:t>
      </w:r>
    </w:p>
    <w:p w14:paraId="433D862E"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ScienceDirect. (2024). </w:t>
      </w:r>
      <w:r w:rsidRPr="00C94197">
        <w:rPr>
          <w:rFonts w:asciiTheme="majorHAnsi" w:hAnsiTheme="majorHAnsi" w:cs="Times New Roman"/>
          <w:i/>
          <w:iCs/>
        </w:rPr>
        <w:t>Investigating algorithmic bias in student progress monitoring</w:t>
      </w:r>
      <w:r w:rsidRPr="00C94197">
        <w:rPr>
          <w:rFonts w:asciiTheme="majorHAnsi" w:hAnsiTheme="majorHAnsi" w:cs="Times New Roman"/>
        </w:rPr>
        <w:t xml:space="preserve">. </w:t>
      </w:r>
      <w:hyperlink r:id="rId25" w:tgtFrame="_blank" w:history="1">
        <w:r w:rsidRPr="00C94197">
          <w:rPr>
            <w:rStyle w:val="Hyperlink"/>
            <w:rFonts w:asciiTheme="majorHAnsi" w:hAnsiTheme="majorHAnsi" w:cs="Times New Roman"/>
          </w:rPr>
          <w:t>www.sciencedirect.com/science/article/pii/S2666920X24000705</w:t>
        </w:r>
      </w:hyperlink>
    </w:p>
    <w:p w14:paraId="2A51619D"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Stanford Law School. (2024). </w:t>
      </w:r>
      <w:r w:rsidRPr="00C94197">
        <w:rPr>
          <w:rFonts w:asciiTheme="majorHAnsi" w:hAnsiTheme="majorHAnsi" w:cs="Times New Roman"/>
          <w:i/>
          <w:iCs/>
        </w:rPr>
        <w:t>How will AI impact racial disparities in education?</w:t>
      </w:r>
      <w:r w:rsidRPr="00C94197">
        <w:rPr>
          <w:rFonts w:asciiTheme="majorHAnsi" w:hAnsiTheme="majorHAnsi" w:cs="Times New Roman"/>
        </w:rPr>
        <w:t xml:space="preserve"> law.stanford.edu/2024/06/29/how-will-ai-impact-racial-disparities-in-education/</w:t>
      </w:r>
    </w:p>
    <w:p w14:paraId="0F1A81C8"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Thatcher, J., O'Sullivan, D., &amp; Mahmoudi, D. (2016). Data colonialism through accumulation by dispossession: New metaphors for daily data. </w:t>
      </w:r>
      <w:r w:rsidRPr="00C94197">
        <w:rPr>
          <w:rFonts w:asciiTheme="majorHAnsi" w:hAnsiTheme="majorHAnsi" w:cs="Times New Roman"/>
          <w:i/>
          <w:iCs/>
        </w:rPr>
        <w:t>Environment and Planning D: Society and Space</w:t>
      </w:r>
      <w:r w:rsidRPr="00C94197">
        <w:rPr>
          <w:rFonts w:asciiTheme="majorHAnsi" w:hAnsiTheme="majorHAnsi" w:cs="Times New Roman"/>
        </w:rPr>
        <w:t>, 34(6), 990-1006.</w:t>
      </w:r>
    </w:p>
    <w:p w14:paraId="06F17C8C"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U.S. Department of Education. (2023). </w:t>
      </w:r>
      <w:r w:rsidRPr="00C94197">
        <w:rPr>
          <w:rFonts w:asciiTheme="majorHAnsi" w:hAnsiTheme="majorHAnsi" w:cs="Times New Roman"/>
          <w:i/>
          <w:iCs/>
        </w:rPr>
        <w:t>Artificial intelligence and the future of teaching and learning</w:t>
      </w:r>
      <w:r w:rsidRPr="00C94197">
        <w:rPr>
          <w:rFonts w:asciiTheme="majorHAnsi" w:hAnsiTheme="majorHAnsi" w:cs="Times New Roman"/>
        </w:rPr>
        <w:t xml:space="preserve">. </w:t>
      </w:r>
      <w:hyperlink r:id="rId26" w:tgtFrame="_blank" w:history="1">
        <w:r w:rsidRPr="00C94197">
          <w:rPr>
            <w:rStyle w:val="Hyperlink"/>
            <w:rFonts w:asciiTheme="majorHAnsi" w:hAnsiTheme="majorHAnsi" w:cs="Times New Roman"/>
          </w:rPr>
          <w:t>www.ed.gov/sites/ed/files/documents/ai-report/ai-report.pdf</w:t>
        </w:r>
      </w:hyperlink>
    </w:p>
    <w:p w14:paraId="7943C4BF"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lastRenderedPageBreak/>
        <w:t xml:space="preserve">U.S. Department of Education. (2025). </w:t>
      </w:r>
      <w:r w:rsidRPr="00C94197">
        <w:rPr>
          <w:rFonts w:asciiTheme="majorHAnsi" w:hAnsiTheme="majorHAnsi" w:cs="Times New Roman"/>
          <w:i/>
          <w:iCs/>
        </w:rPr>
        <w:t>Artificial intelligence (AI) guidance</w:t>
      </w:r>
      <w:r w:rsidRPr="00C94197">
        <w:rPr>
          <w:rFonts w:asciiTheme="majorHAnsi" w:hAnsiTheme="majorHAnsi" w:cs="Times New Roman"/>
        </w:rPr>
        <w:t>. www2.ed.gov/about/ed-overview/artificial-intelligence-ai-guidance</w:t>
      </w:r>
    </w:p>
    <w:p w14:paraId="37DFD4F0"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U.S. Department of Education. (2025). </w:t>
      </w:r>
      <w:r w:rsidRPr="00C94197">
        <w:rPr>
          <w:rFonts w:asciiTheme="majorHAnsi" w:hAnsiTheme="majorHAnsi" w:cs="Times New Roman"/>
          <w:i/>
          <w:iCs/>
        </w:rPr>
        <w:t>U.S. Department of Education issues guidance on artificial intelligence use in schools</w:t>
      </w:r>
      <w:r w:rsidRPr="00C94197">
        <w:rPr>
          <w:rFonts w:asciiTheme="majorHAnsi" w:hAnsiTheme="majorHAnsi" w:cs="Times New Roman"/>
        </w:rPr>
        <w:t xml:space="preserve">. </w:t>
      </w:r>
      <w:hyperlink r:id="rId27" w:tgtFrame="_blank" w:history="1">
        <w:r w:rsidRPr="00C94197">
          <w:rPr>
            <w:rStyle w:val="Hyperlink"/>
            <w:rFonts w:asciiTheme="majorHAnsi" w:hAnsiTheme="majorHAnsi" w:cs="Times New Roman"/>
          </w:rPr>
          <w:t>www.ed.gov/about/news/press-release/us-department-of-education-issues-guidance-artificial-intelligence-use-schools-proposes-additional-supplemental-priority</w:t>
        </w:r>
      </w:hyperlink>
    </w:p>
    <w:p w14:paraId="20F8D74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Visible.vc. (2025). </w:t>
      </w:r>
      <w:r w:rsidRPr="00C94197">
        <w:rPr>
          <w:rFonts w:asciiTheme="majorHAnsi" w:hAnsiTheme="majorHAnsi" w:cs="Times New Roman"/>
          <w:i/>
          <w:iCs/>
        </w:rPr>
        <w:t>The VCs fueling the future of education in 2025</w:t>
      </w:r>
      <w:r w:rsidRPr="00C94197">
        <w:rPr>
          <w:rFonts w:asciiTheme="majorHAnsi" w:hAnsiTheme="majorHAnsi" w:cs="Times New Roman"/>
        </w:rPr>
        <w:t xml:space="preserve">. </w:t>
      </w:r>
      <w:hyperlink r:id="rId28" w:tgtFrame="_blank" w:history="1">
        <w:r w:rsidRPr="00C94197">
          <w:rPr>
            <w:rStyle w:val="Hyperlink"/>
            <w:rFonts w:asciiTheme="majorHAnsi" w:hAnsiTheme="majorHAnsi" w:cs="Times New Roman"/>
          </w:rPr>
          <w:t>www.visible.vc/blog/edtech-investors/</w:t>
        </w:r>
      </w:hyperlink>
    </w:p>
    <w:p w14:paraId="05677B57"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Williamson, B. (2019). Policy networks, performance metrics, and platform markets in education. </w:t>
      </w:r>
      <w:r w:rsidRPr="00C94197">
        <w:rPr>
          <w:rFonts w:asciiTheme="majorHAnsi" w:hAnsiTheme="majorHAnsi" w:cs="Times New Roman"/>
          <w:i/>
          <w:iCs/>
        </w:rPr>
        <w:t>British Journal of Educational Technology</w:t>
      </w:r>
      <w:r w:rsidRPr="00C94197">
        <w:rPr>
          <w:rFonts w:asciiTheme="majorHAnsi" w:hAnsiTheme="majorHAnsi" w:cs="Times New Roman"/>
        </w:rPr>
        <w:t>, 50(6), 2794-2809.</w:t>
      </w:r>
    </w:p>
    <w:p w14:paraId="6DF36316" w14:textId="77777777" w:rsidR="00C94197" w:rsidRPr="00C94197" w:rsidRDefault="00C94197" w:rsidP="00C94197">
      <w:pPr>
        <w:spacing w:line="240" w:lineRule="auto"/>
        <w:jc w:val="both"/>
        <w:rPr>
          <w:rFonts w:asciiTheme="majorHAnsi" w:hAnsiTheme="majorHAnsi" w:cs="Times New Roman"/>
        </w:rPr>
      </w:pPr>
      <w:r w:rsidRPr="00C94197">
        <w:rPr>
          <w:rFonts w:asciiTheme="majorHAnsi" w:hAnsiTheme="majorHAnsi" w:cs="Times New Roman"/>
        </w:rPr>
        <w:t xml:space="preserve">Williamson, B., &amp; Eynon, R. (2020). Historical threads, missed connections, and future directions in digital education. </w:t>
      </w:r>
      <w:r w:rsidRPr="00C94197">
        <w:rPr>
          <w:rFonts w:asciiTheme="majorHAnsi" w:hAnsiTheme="majorHAnsi" w:cs="Times New Roman"/>
          <w:i/>
          <w:iCs/>
        </w:rPr>
        <w:t>Learning, Media and Technology</w:t>
      </w:r>
      <w:r w:rsidRPr="00C94197">
        <w:rPr>
          <w:rFonts w:asciiTheme="majorHAnsi" w:hAnsiTheme="majorHAnsi" w:cs="Times New Roman"/>
        </w:rPr>
        <w:t>, 45(3), 223-235.</w:t>
      </w:r>
    </w:p>
    <w:p w14:paraId="2D2D42D2" w14:textId="77777777" w:rsidR="00C94197" w:rsidRPr="004D34B4" w:rsidRDefault="00C94197" w:rsidP="00C94197">
      <w:pPr>
        <w:jc w:val="both"/>
        <w:rPr>
          <w:rFonts w:ascii="Times New Roman" w:hAnsi="Times New Roman" w:cs="Times New Roman"/>
        </w:rPr>
      </w:pPr>
    </w:p>
    <w:p w14:paraId="3C6947A2" w14:textId="77777777" w:rsidR="00BE0F3C" w:rsidRPr="009B761F" w:rsidRDefault="00BE0F3C" w:rsidP="00C94197">
      <w:pPr>
        <w:spacing w:line="240" w:lineRule="auto"/>
        <w:jc w:val="both"/>
        <w:rPr>
          <w:rFonts w:asciiTheme="majorHAnsi" w:hAnsiTheme="majorHAnsi"/>
        </w:rPr>
      </w:pPr>
    </w:p>
    <w:sectPr w:rsidR="00BE0F3C" w:rsidRPr="009B761F" w:rsidSect="00D2259C">
      <w:headerReference w:type="default" r:id="rId29"/>
      <w:footerReference w:type="default" r:id="rId30"/>
      <w:pgSz w:w="12240" w:h="15840" w:code="1"/>
      <w:pgMar w:top="720" w:right="720" w:bottom="720" w:left="720" w:header="720" w:footer="720" w:gutter="0"/>
      <w:pgNumType w:start="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D0F6" w14:textId="77777777" w:rsidR="00AB6039" w:rsidRDefault="00AB6039" w:rsidP="00BE0F3C">
      <w:pPr>
        <w:spacing w:after="0" w:line="240" w:lineRule="auto"/>
      </w:pPr>
      <w:r>
        <w:separator/>
      </w:r>
    </w:p>
  </w:endnote>
  <w:endnote w:type="continuationSeparator" w:id="0">
    <w:p w14:paraId="12120E81" w14:textId="77777777" w:rsidR="00AB6039" w:rsidRDefault="00AB6039"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14:paraId="10BB9DF2" w14:textId="77777777">
      <w:trPr>
        <w:trHeight w:val="151"/>
      </w:trPr>
      <w:tc>
        <w:tcPr>
          <w:tcW w:w="2250" w:type="pct"/>
          <w:tcBorders>
            <w:bottom w:val="single" w:sz="4" w:space="0" w:color="4F81BD" w:themeColor="accent1"/>
          </w:tcBorders>
        </w:tcPr>
        <w:p w14:paraId="454607F5" w14:textId="77777777" w:rsidR="00BE0F3C" w:rsidRDefault="00BE0F3C">
          <w:pPr>
            <w:pStyle w:val="Header"/>
            <w:rPr>
              <w:rFonts w:asciiTheme="majorHAnsi" w:eastAsiaTheme="majorEastAsia" w:hAnsiTheme="majorHAnsi" w:cstheme="majorBidi"/>
              <w:b/>
              <w:bCs/>
            </w:rPr>
          </w:pPr>
        </w:p>
      </w:tc>
      <w:tc>
        <w:tcPr>
          <w:tcW w:w="500" w:type="pct"/>
          <w:vMerge w:val="restart"/>
          <w:noWrap/>
          <w:vAlign w:val="center"/>
        </w:tcPr>
        <w:p w14:paraId="2AAC267C" w14:textId="77777777"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C94197" w:rsidRPr="00C94197">
            <w:rPr>
              <w:rFonts w:asciiTheme="majorHAnsi" w:eastAsiaTheme="majorEastAsia" w:hAnsiTheme="majorHAnsi" w:cstheme="majorBidi"/>
              <w:b/>
              <w:bCs/>
              <w:noProof/>
              <w:sz w:val="20"/>
            </w:rPr>
            <w:t>51</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14:paraId="294D2CC7" w14:textId="77777777" w:rsidR="00BE0F3C" w:rsidRDefault="00BE0F3C">
          <w:pPr>
            <w:pStyle w:val="Header"/>
            <w:rPr>
              <w:rFonts w:asciiTheme="majorHAnsi" w:eastAsiaTheme="majorEastAsia" w:hAnsiTheme="majorHAnsi" w:cstheme="majorBidi"/>
              <w:b/>
              <w:bCs/>
            </w:rPr>
          </w:pPr>
        </w:p>
      </w:tc>
    </w:tr>
    <w:tr w:rsidR="00BE0F3C" w14:paraId="09FBD647" w14:textId="77777777">
      <w:trPr>
        <w:trHeight w:val="150"/>
      </w:trPr>
      <w:tc>
        <w:tcPr>
          <w:tcW w:w="2250" w:type="pct"/>
          <w:tcBorders>
            <w:top w:val="single" w:sz="4" w:space="0" w:color="4F81BD" w:themeColor="accent1"/>
          </w:tcBorders>
        </w:tcPr>
        <w:p w14:paraId="08A7039E" w14:textId="77777777" w:rsidR="00BE0F3C" w:rsidRDefault="00BE0F3C">
          <w:pPr>
            <w:pStyle w:val="Header"/>
            <w:rPr>
              <w:rFonts w:asciiTheme="majorHAnsi" w:eastAsiaTheme="majorEastAsia" w:hAnsiTheme="majorHAnsi" w:cstheme="majorBidi"/>
              <w:b/>
              <w:bCs/>
            </w:rPr>
          </w:pPr>
        </w:p>
      </w:tc>
      <w:tc>
        <w:tcPr>
          <w:tcW w:w="500" w:type="pct"/>
          <w:vMerge/>
        </w:tcPr>
        <w:p w14:paraId="0A426871" w14:textId="77777777"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30AD78B0" w14:textId="77777777" w:rsidR="00BE0F3C" w:rsidRDefault="00BE0F3C">
          <w:pPr>
            <w:pStyle w:val="Header"/>
            <w:rPr>
              <w:rFonts w:asciiTheme="majorHAnsi" w:eastAsiaTheme="majorEastAsia" w:hAnsiTheme="majorHAnsi" w:cstheme="majorBidi"/>
              <w:b/>
              <w:bCs/>
            </w:rPr>
          </w:pPr>
        </w:p>
      </w:tc>
    </w:tr>
  </w:tbl>
  <w:p w14:paraId="1D580935" w14:textId="77777777" w:rsidR="00BE0F3C" w:rsidRDefault="00BE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E7B2" w14:textId="77777777" w:rsidR="00AB6039" w:rsidRDefault="00AB6039" w:rsidP="00BE0F3C">
      <w:pPr>
        <w:spacing w:after="0" w:line="240" w:lineRule="auto"/>
      </w:pPr>
      <w:r>
        <w:separator/>
      </w:r>
    </w:p>
  </w:footnote>
  <w:footnote w:type="continuationSeparator" w:id="0">
    <w:p w14:paraId="42A86438" w14:textId="77777777" w:rsidR="00AB6039" w:rsidRDefault="00AB6039" w:rsidP="00BE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51E2" w14:textId="77777777"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6A641D4D" wp14:editId="1DC4FCA0">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32FAB9" w14:textId="17C53EBE"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C94197">
                            <w:rPr>
                              <w:rFonts w:asciiTheme="majorHAnsi" w:hAnsiTheme="majorHAnsi"/>
                              <w:b/>
                              <w:sz w:val="28"/>
                            </w:rPr>
                            <w:t>ial Sciences 4(</w:t>
                          </w:r>
                          <w:r w:rsidR="00D2259C">
                            <w:rPr>
                              <w:rFonts w:asciiTheme="majorHAnsi" w:hAnsiTheme="majorHAnsi"/>
                              <w:b/>
                              <w:sz w:val="28"/>
                            </w:rPr>
                            <w:t>3</w:t>
                          </w:r>
                          <w:r w:rsidR="006B21AD">
                            <w:rPr>
                              <w:rFonts w:asciiTheme="majorHAnsi" w:hAnsiTheme="majorHAnsi"/>
                              <w:b/>
                              <w:sz w:val="28"/>
                            </w:rPr>
                            <w:t>) (2025</w:t>
                          </w:r>
                          <w:r w:rsidR="00C94197">
                            <w:rPr>
                              <w:rFonts w:asciiTheme="majorHAnsi" w:hAnsiTheme="majorHAnsi"/>
                              <w:b/>
                              <w:sz w:val="28"/>
                            </w:rPr>
                            <w:t xml:space="preserve">) </w:t>
                          </w:r>
                          <w:r w:rsidR="00D2259C">
                            <w:rPr>
                              <w:rFonts w:asciiTheme="majorHAnsi" w:hAnsiTheme="majorHAnsi"/>
                              <w:b/>
                              <w:sz w:val="28"/>
                            </w:rPr>
                            <w:t>49</w:t>
                          </w:r>
                          <w:r w:rsidR="00C94197">
                            <w:rPr>
                              <w:rFonts w:asciiTheme="majorHAnsi" w:hAnsiTheme="majorHAnsi"/>
                              <w:b/>
                              <w:sz w:val="28"/>
                            </w:rPr>
                            <w:t>-</w:t>
                          </w:r>
                          <w:r w:rsidR="00D2259C">
                            <w:rPr>
                              <w:rFonts w:asciiTheme="majorHAnsi" w:hAnsiTheme="majorHAnsi"/>
                              <w:b/>
                              <w:sz w:val="28"/>
                            </w:rPr>
                            <w:t>59</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6A641D4D"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" fillcolor="#4f81bd [3204]" stroked="f" strokeweight="2pt">
              <v:textbox>
                <w:txbxContent>
                  <w:p w14:paraId="6E32FAB9" w14:textId="17C53EBE"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C94197">
                      <w:rPr>
                        <w:rFonts w:asciiTheme="majorHAnsi" w:hAnsiTheme="majorHAnsi"/>
                        <w:b/>
                        <w:sz w:val="28"/>
                      </w:rPr>
                      <w:t>ial Sciences 4(</w:t>
                    </w:r>
                    <w:r w:rsidR="00D2259C">
                      <w:rPr>
                        <w:rFonts w:asciiTheme="majorHAnsi" w:hAnsiTheme="majorHAnsi"/>
                        <w:b/>
                        <w:sz w:val="28"/>
                      </w:rPr>
                      <w:t>3</w:t>
                    </w:r>
                    <w:r w:rsidR="006B21AD">
                      <w:rPr>
                        <w:rFonts w:asciiTheme="majorHAnsi" w:hAnsiTheme="majorHAnsi"/>
                        <w:b/>
                        <w:sz w:val="28"/>
                      </w:rPr>
                      <w:t>) (2025</w:t>
                    </w:r>
                    <w:r w:rsidR="00C94197">
                      <w:rPr>
                        <w:rFonts w:asciiTheme="majorHAnsi" w:hAnsiTheme="majorHAnsi"/>
                        <w:b/>
                        <w:sz w:val="28"/>
                      </w:rPr>
                      <w:t xml:space="preserve">) </w:t>
                    </w:r>
                    <w:r w:rsidR="00D2259C">
                      <w:rPr>
                        <w:rFonts w:asciiTheme="majorHAnsi" w:hAnsiTheme="majorHAnsi"/>
                        <w:b/>
                        <w:sz w:val="28"/>
                      </w:rPr>
                      <w:t>49</w:t>
                    </w:r>
                    <w:r w:rsidR="00C94197">
                      <w:rPr>
                        <w:rFonts w:asciiTheme="majorHAnsi" w:hAnsiTheme="majorHAnsi"/>
                        <w:b/>
                        <w:sz w:val="28"/>
                      </w:rPr>
                      <w:t>-</w:t>
                    </w:r>
                    <w:r w:rsidR="00D2259C">
                      <w:rPr>
                        <w:rFonts w:asciiTheme="majorHAnsi" w:hAnsiTheme="majorHAnsi"/>
                        <w:b/>
                        <w:sz w:val="28"/>
                      </w:rPr>
                      <w:t>59</w:t>
                    </w:r>
                  </w:p>
                </w:txbxContent>
              </v:textbox>
              <w10:wrap anchorx="margin" anchory="page"/>
            </v:rect>
          </w:pict>
        </mc:Fallback>
      </mc:AlternateContent>
    </w:r>
  </w:p>
  <w:p w14:paraId="06E3E914" w14:textId="77777777" w:rsidR="00BE0F3C" w:rsidRPr="00BE0F3C" w:rsidRDefault="00BE0F3C">
    <w:pPr>
      <w:pStyle w:val="Header"/>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07591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679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206"/>
    <w:rsid w:val="0000584C"/>
    <w:rsid w:val="001D45B8"/>
    <w:rsid w:val="00236954"/>
    <w:rsid w:val="00304206"/>
    <w:rsid w:val="00360810"/>
    <w:rsid w:val="003901AC"/>
    <w:rsid w:val="004F65C6"/>
    <w:rsid w:val="005C22CC"/>
    <w:rsid w:val="006B21AD"/>
    <w:rsid w:val="007570FF"/>
    <w:rsid w:val="00801138"/>
    <w:rsid w:val="009B761F"/>
    <w:rsid w:val="00A33522"/>
    <w:rsid w:val="00AB6039"/>
    <w:rsid w:val="00BE0F3C"/>
    <w:rsid w:val="00C94197"/>
    <w:rsid w:val="00CD4137"/>
    <w:rsid w:val="00D2259C"/>
    <w:rsid w:val="00E44DF5"/>
    <w:rsid w:val="00EB32A8"/>
    <w:rsid w:val="00FF5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FBD1B"/>
  <w15:docId w15:val="{C0F53BF6-498C-4081-9ACC-CAADC94E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 w:type="character" w:styleId="Hyperlink">
    <w:name w:val="Hyperlink"/>
    <w:basedOn w:val="DefaultParagraphFont"/>
    <w:semiHidden/>
    <w:unhideWhenUsed/>
    <w:qFormat/>
    <w:rsid w:val="009B761F"/>
    <w:rPr>
      <w:color w:val="0000FF"/>
      <w:u w:val="single"/>
    </w:rPr>
  </w:style>
  <w:style w:type="table" w:styleId="LightShading">
    <w:name w:val="Light Shading"/>
    <w:basedOn w:val="TableNormal"/>
    <w:uiPriority w:val="60"/>
    <w:rsid w:val="00C941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941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arc.com.pk/index.php/CRISS/index" TargetMode="External"/><Relationship Id="rId13" Type="http://schemas.openxmlformats.org/officeDocument/2006/relationships/hyperlink" Target="https://journals.carc.com.pk/index.php/CRISS/issue/view/10" TargetMode="External"/><Relationship Id="rId18" Type="http://schemas.openxmlformats.org/officeDocument/2006/relationships/hyperlink" Target="https://flyerone.vc/post/f1v-report-all-you-need-to-know-about-edtech-in-2024-infographics" TargetMode="External"/><Relationship Id="rId26" Type="http://schemas.openxmlformats.org/officeDocument/2006/relationships/hyperlink" Target="http://www.ed.gov/sites/ed/files/documents/ai-report/ai-report.pdf" TargetMode="External"/><Relationship Id="rId3" Type="http://schemas.openxmlformats.org/officeDocument/2006/relationships/styles" Target="styles.xml"/><Relationship Id="rId21" Type="http://schemas.openxmlformats.org/officeDocument/2006/relationships/hyperlink" Target="http://www.holoniq.com/notes/edtech-vc-reached-2-4b-for-2024-representing-the-lowest-level-of-investment-in-a-decade" TargetMode="External"/><Relationship Id="rId7" Type="http://schemas.openxmlformats.org/officeDocument/2006/relationships/endnotes" Target="endnotes.xml"/><Relationship Id="rId12" Type="http://schemas.openxmlformats.org/officeDocument/2006/relationships/hyperlink" Target="https://journals.carc.com.pk/index.php/CRISS" TargetMode="External"/><Relationship Id="rId17" Type="http://schemas.openxmlformats.org/officeDocument/2006/relationships/hyperlink" Target="https://digitalpromise.org/2021/10/28/what-do-edtech-and-ai-have-to-do-with-race-bias/" TargetMode="External"/><Relationship Id="rId25" Type="http://schemas.openxmlformats.org/officeDocument/2006/relationships/hyperlink" Target="http://www.sciencedirect.com/science/article/pii/S2666920X24000705" TargetMode="External"/><Relationship Id="rId2" Type="http://schemas.openxmlformats.org/officeDocument/2006/relationships/numbering" Target="numbering.xml"/><Relationship Id="rId16" Type="http://schemas.openxmlformats.org/officeDocument/2006/relationships/hyperlink" Target="https://link.springer.com/article/10.1007/s44217-025-00908-6" TargetMode="External"/><Relationship Id="rId20" Type="http://schemas.openxmlformats.org/officeDocument/2006/relationships/hyperlink" Target="https://www.growthequityinterviewguide.com/venture-capital/sector-focused-venture-capital/ed-tech-venture-capit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carc.com.pk/index.php/CRISS/issue/view/10" TargetMode="External"/><Relationship Id="rId24" Type="http://schemas.openxmlformats.org/officeDocument/2006/relationships/hyperlink" Target="http://www.psu.edu/news/information-sciences-and-technology/story/ai-language-models-show-bias-against-people-disabiliti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t.org/insights/protecting-student-privacy-and-ensuring-equitable-algorithmic-systems-in-education/" TargetMode="External"/><Relationship Id="rId23" Type="http://schemas.openxmlformats.org/officeDocument/2006/relationships/hyperlink" Target="https://docs.edtechhub.org/lib/C5MWWQI2" TargetMode="External"/><Relationship Id="rId28" Type="http://schemas.openxmlformats.org/officeDocument/2006/relationships/hyperlink" Target="http://www.visible.vc/blog/edtech-investors/" TargetMode="External"/><Relationship Id="rId10" Type="http://schemas.openxmlformats.org/officeDocument/2006/relationships/image" Target="media/image2.jpeg"/><Relationship Id="rId19" Type="http://schemas.openxmlformats.org/officeDocument/2006/relationships/hyperlink" Target="http://www.grandviewresearch.com/industry-analysis/education-technology-mark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journals.carc.com.pk/index.php/CRISS" TargetMode="External"/><Relationship Id="rId22" Type="http://schemas.openxmlformats.org/officeDocument/2006/relationships/hyperlink" Target="http://www.marketgrowthreports.com/market-reports/education-technology-ed-tech-market-114977" TargetMode="External"/><Relationship Id="rId27" Type="http://schemas.openxmlformats.org/officeDocument/2006/relationships/hyperlink" Target="http://www.ed.gov/about/news/press-release/us-department-of-education-issues-guidance-artificial-intelligence-use-schools-proposes-additional-supplemental-priorit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6509</Words>
  <Characters>37104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Windows</cp:lastModifiedBy>
  <cp:revision>4</cp:revision>
  <dcterms:created xsi:type="dcterms:W3CDTF">2025-12-21T04:09:00Z</dcterms:created>
  <dcterms:modified xsi:type="dcterms:W3CDTF">2025-12-22T06:54:00Z</dcterms:modified>
</cp:coreProperties>
</file>