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206" w:rsidRDefault="00304206" w:rsidP="00304206">
      <w:pPr>
        <w:pStyle w:val="BodyText"/>
        <w:ind w:left="142" w:right="424"/>
        <w:jc w:val="center"/>
        <w:rPr>
          <w:color w:val="231F20"/>
          <w:w w:val="130"/>
        </w:rPr>
      </w:pPr>
      <w:r>
        <w:rPr>
          <w:noProof/>
        </w:rPr>
        <mc:AlternateContent>
          <mc:Choice Requires="wps">
            <w:drawing>
              <wp:anchor distT="0" distB="0" distL="114300" distR="114300" simplePos="0" relativeHeight="251664384" behindDoc="0" locked="0" layoutInCell="1" allowOverlap="1" wp14:anchorId="6D16FC04" wp14:editId="25CF08BC">
                <wp:simplePos x="0" y="0"/>
                <wp:positionH relativeFrom="column">
                  <wp:posOffset>5672454</wp:posOffset>
                </wp:positionH>
                <wp:positionV relativeFrom="paragraph">
                  <wp:posOffset>47625</wp:posOffset>
                </wp:positionV>
                <wp:extent cx="1299845" cy="257175"/>
                <wp:effectExtent l="0" t="0" r="14605" b="28575"/>
                <wp:wrapNone/>
                <wp:docPr id="24" name="Text Box 24"/>
                <wp:cNvGraphicFramePr/>
                <a:graphic xmlns:a="http://schemas.openxmlformats.org/drawingml/2006/main">
                  <a:graphicData uri="http://schemas.microsoft.com/office/word/2010/wordprocessingShape">
                    <wps:wsp>
                      <wps:cNvSpPr txBox="1"/>
                      <wps:spPr>
                        <a:xfrm>
                          <a:off x="0" y="0"/>
                          <a:ext cx="129984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4206" w:rsidRPr="00304206" w:rsidRDefault="00304206">
                            <w:pPr>
                              <w:rPr>
                                <w:rFonts w:asciiTheme="majorHAnsi" w:hAnsiTheme="majorHAnsi"/>
                              </w:rPr>
                            </w:pPr>
                            <w:r w:rsidRPr="00304206">
                              <w:rPr>
                                <w:rFonts w:asciiTheme="majorHAnsi" w:hAnsiTheme="majorHAnsi"/>
                                <w:sz w:val="18"/>
                              </w:rPr>
                              <w:t>01-38-CRISS-579-148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446.65pt;margin-top:3.75pt;width:102.3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" fillcolor="white [3201]" strokeweight=".5pt">
                <v:textbox>
                  <w:txbxContent>
                    <w:p w:rsidR="00304206" w:rsidRPr="00304206" w:rsidRDefault="00304206">
                      <w:pPr>
                        <w:rPr>
                          <w:rFonts w:asciiTheme="majorHAnsi" w:hAnsiTheme="majorHAnsi"/>
                        </w:rPr>
                      </w:pPr>
                      <w:r w:rsidRPr="00304206">
                        <w:rPr>
                          <w:rFonts w:asciiTheme="majorHAnsi" w:hAnsiTheme="majorHAnsi"/>
                          <w:sz w:val="18"/>
                        </w:rPr>
                        <w:t>01-38-CRISS-579-148</w:t>
                      </w:r>
                    </w:p>
                  </w:txbxContent>
                </v:textbox>
              </v:shape>
            </w:pict>
          </mc:Fallback>
        </mc:AlternateContent>
      </w:r>
    </w:p>
    <w:p w:rsidR="00304206" w:rsidRDefault="00304206" w:rsidP="00304206">
      <w:pPr>
        <w:pStyle w:val="BodyText"/>
        <w:ind w:left="142" w:right="424"/>
        <w:jc w:val="center"/>
      </w:pPr>
      <w:r>
        <w:rPr>
          <w:noProof/>
        </w:rPr>
        <w:drawing>
          <wp:anchor distT="0" distB="0" distL="114300" distR="114300" simplePos="0" relativeHeight="251670528" behindDoc="0" locked="0" layoutInCell="1" allowOverlap="1" wp14:anchorId="52E6FE2C" wp14:editId="02B1BB93">
            <wp:simplePos x="0" y="0"/>
            <wp:positionH relativeFrom="column">
              <wp:posOffset>-104774</wp:posOffset>
            </wp:positionH>
            <wp:positionV relativeFrom="paragraph">
              <wp:posOffset>189865</wp:posOffset>
            </wp:positionV>
            <wp:extent cx="1181100" cy="1038225"/>
            <wp:effectExtent l="0" t="0" r="0" b="9525"/>
            <wp:wrapNone/>
            <wp:docPr id="72" name="Image 72">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72" name="Image 72">
                      <a:hlinkClick r:id="rId8"/>
                    </pic:cNvPr>
                    <pic:cNvPicPr/>
                  </pic:nvPicPr>
                  <pic:blipFill>
                    <a:blip r:embed="rId9" cstate="print"/>
                    <a:stretch>
                      <a:fillRect/>
                    </a:stretch>
                  </pic:blipFill>
                  <pic:spPr>
                    <a:xfrm>
                      <a:off x="0" y="0"/>
                      <a:ext cx="1184214" cy="104096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752DD527" wp14:editId="7A5736E5">
            <wp:simplePos x="0" y="0"/>
            <wp:positionH relativeFrom="column">
              <wp:posOffset>5797550</wp:posOffset>
            </wp:positionH>
            <wp:positionV relativeFrom="paragraph">
              <wp:posOffset>185420</wp:posOffset>
            </wp:positionV>
            <wp:extent cx="1002665" cy="1143000"/>
            <wp:effectExtent l="0" t="0" r="6985" b="0"/>
            <wp:wrapNone/>
            <wp:docPr id="71" name="Image 71">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71" name="Image 71">
                      <a:hlinkClick r:id="rId8"/>
                    </pic:cNvPr>
                    <pic:cNvPicPr/>
                  </pic:nvPicPr>
                  <pic:blipFill>
                    <a:blip r:embed="rId10" cstate="print"/>
                    <a:stretch>
                      <a:fillRect/>
                    </a:stretch>
                  </pic:blipFill>
                  <pic:spPr>
                    <a:xfrm>
                      <a:off x="0" y="0"/>
                      <a:ext cx="1002665" cy="1143000"/>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0E96F461" wp14:editId="5029F877">
                <wp:simplePos x="0" y="0"/>
                <wp:positionH relativeFrom="column">
                  <wp:posOffset>111125</wp:posOffset>
                </wp:positionH>
                <wp:positionV relativeFrom="paragraph">
                  <wp:posOffset>95885</wp:posOffset>
                </wp:positionV>
                <wp:extent cx="6515100" cy="47625"/>
                <wp:effectExtent l="0" t="0" r="19050" b="0"/>
                <wp:wrapNone/>
                <wp:docPr id="50" name="Graphic 50"/>
                <wp:cNvGraphicFramePr/>
                <a:graphic xmlns:a="http://schemas.openxmlformats.org/drawingml/2006/main">
                  <a:graphicData uri="http://schemas.microsoft.com/office/word/2010/wordprocessingShape">
                    <wps:wsp>
                      <wps:cNvSpPr/>
                      <wps:spPr>
                        <a:xfrm flipV="1">
                          <a:off x="0" y="0"/>
                          <a:ext cx="6515100" cy="47625"/>
                        </a:xfrm>
                        <a:custGeom>
                          <a:avLst/>
                          <a:gdLst/>
                          <a:ahLst/>
                          <a:cxnLst/>
                          <a:rect l="l" t="t" r="r" b="b"/>
                          <a:pathLst>
                            <a:path w="5387975">
                              <a:moveTo>
                                <a:pt x="0" y="0"/>
                              </a:moveTo>
                              <a:lnTo>
                                <a:pt x="5387898" y="0"/>
                              </a:lnTo>
                            </a:path>
                          </a:pathLst>
                        </a:custGeom>
                        <a:ln w="19050"/>
                      </wps:spPr>
                      <wps:style>
                        <a:lnRef idx="1">
                          <a:schemeClr val="dk1"/>
                        </a:lnRef>
                        <a:fillRef idx="0">
                          <a:schemeClr val="dk1"/>
                        </a:fillRef>
                        <a:effectRef idx="0">
                          <a:schemeClr val="dk1"/>
                        </a:effectRef>
                        <a:fontRef idx="minor">
                          <a:schemeClr val="tx1"/>
                        </a:fontRef>
                      </wps:style>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50" o:spid="_x0000_s1026" style="position:absolute;margin-left:8.75pt;margin-top:7.55pt;width:513pt;height:3.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38797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" path="m,l5387898,e" filled="f" strokecolor="black [3040]" strokeweight="1.5pt">
                <v:path arrowok="t"/>
              </v:shape>
            </w:pict>
          </mc:Fallback>
        </mc:AlternateContent>
      </w:r>
      <w:r>
        <w:rPr>
          <w:color w:val="231F20"/>
          <w:w w:val="130"/>
        </w:rPr>
        <w:t>CARC</w:t>
      </w:r>
      <w:r>
        <w:rPr>
          <w:color w:val="231F20"/>
          <w:spacing w:val="7"/>
          <w:w w:val="130"/>
        </w:rPr>
        <w:t xml:space="preserve"> </w:t>
      </w:r>
      <w:r>
        <w:rPr>
          <w:color w:val="231F20"/>
          <w:w w:val="130"/>
        </w:rPr>
        <w:t>Research</w:t>
      </w:r>
      <w:r>
        <w:rPr>
          <w:color w:val="231F20"/>
          <w:spacing w:val="7"/>
          <w:w w:val="130"/>
        </w:rPr>
        <w:t xml:space="preserve"> </w:t>
      </w:r>
      <w:r>
        <w:rPr>
          <w:color w:val="231F20"/>
          <w:w w:val="130"/>
        </w:rPr>
        <w:t>in</w:t>
      </w:r>
      <w:r>
        <w:rPr>
          <w:color w:val="231F20"/>
          <w:spacing w:val="7"/>
          <w:w w:val="130"/>
        </w:rPr>
        <w:t xml:space="preserve"> </w:t>
      </w:r>
      <w:r>
        <w:rPr>
          <w:color w:val="231F20"/>
          <w:w w:val="130"/>
        </w:rPr>
        <w:t>Social</w:t>
      </w:r>
      <w:r>
        <w:rPr>
          <w:color w:val="231F20"/>
          <w:spacing w:val="7"/>
          <w:w w:val="130"/>
        </w:rPr>
        <w:t xml:space="preserve"> </w:t>
      </w:r>
      <w:r>
        <w:rPr>
          <w:color w:val="231F20"/>
          <w:w w:val="130"/>
        </w:rPr>
        <w:t>Sciences</w:t>
      </w:r>
      <w:r>
        <w:rPr>
          <w:color w:val="231F20"/>
          <w:spacing w:val="7"/>
          <w:w w:val="130"/>
        </w:rPr>
        <w:t xml:space="preserve"> </w:t>
      </w:r>
      <w:r w:rsidR="006B21AD">
        <w:rPr>
          <w:color w:val="231F20"/>
          <w:w w:val="130"/>
        </w:rPr>
        <w:t>4(1</w:t>
      </w:r>
      <w:r>
        <w:rPr>
          <w:color w:val="231F20"/>
          <w:w w:val="130"/>
        </w:rPr>
        <w:t>)</w:t>
      </w:r>
      <w:r>
        <w:rPr>
          <w:color w:val="231F20"/>
          <w:spacing w:val="8"/>
          <w:w w:val="130"/>
        </w:rPr>
        <w:t xml:space="preserve"> </w:t>
      </w:r>
      <w:r w:rsidR="006B21AD">
        <w:rPr>
          <w:color w:val="231F20"/>
          <w:w w:val="130"/>
        </w:rPr>
        <w:t>(2025</w:t>
      </w:r>
      <w:r>
        <w:rPr>
          <w:color w:val="231F20"/>
          <w:w w:val="130"/>
        </w:rPr>
        <w:t>)</w:t>
      </w:r>
      <w:r>
        <w:rPr>
          <w:color w:val="231F20"/>
          <w:spacing w:val="8"/>
          <w:w w:val="130"/>
        </w:rPr>
        <w:t xml:space="preserve"> </w:t>
      </w:r>
      <w:r w:rsidR="006B21AD">
        <w:rPr>
          <w:color w:val="231F20"/>
          <w:w w:val="130"/>
        </w:rPr>
        <w:t>1-14</w:t>
      </w:r>
      <w:bookmarkStart w:id="0" w:name="_GoBack"/>
      <w:bookmarkEnd w:id="0"/>
    </w:p>
    <w:p w:rsidR="005C22CC" w:rsidRDefault="00304206" w:rsidP="00304206">
      <w:pPr>
        <w:tabs>
          <w:tab w:val="right" w:pos="10800"/>
        </w:tabs>
      </w:pPr>
      <w:r>
        <w:rPr>
          <w:noProof/>
        </w:rPr>
        <mc:AlternateContent>
          <mc:Choice Requires="wps">
            <w:drawing>
              <wp:anchor distT="0" distB="0" distL="114300" distR="114300" simplePos="0" relativeHeight="251668480" behindDoc="0" locked="0" layoutInCell="1" allowOverlap="1" wp14:anchorId="3C5CBAE3" wp14:editId="4C7A6344">
                <wp:simplePos x="0" y="0"/>
                <wp:positionH relativeFrom="column">
                  <wp:posOffset>114300</wp:posOffset>
                </wp:positionH>
                <wp:positionV relativeFrom="paragraph">
                  <wp:posOffset>1141729</wp:posOffset>
                </wp:positionV>
                <wp:extent cx="6600825" cy="47625"/>
                <wp:effectExtent l="0" t="0" r="28575" b="0"/>
                <wp:wrapNone/>
                <wp:docPr id="25" name="Graphic 50"/>
                <wp:cNvGraphicFramePr/>
                <a:graphic xmlns:a="http://schemas.openxmlformats.org/drawingml/2006/main">
                  <a:graphicData uri="http://schemas.microsoft.com/office/word/2010/wordprocessingShape">
                    <wps:wsp>
                      <wps:cNvSpPr/>
                      <wps:spPr>
                        <a:xfrm flipV="1">
                          <a:off x="0" y="0"/>
                          <a:ext cx="6600825" cy="47625"/>
                        </a:xfrm>
                        <a:custGeom>
                          <a:avLst/>
                          <a:gdLst/>
                          <a:ahLst/>
                          <a:cxnLst/>
                          <a:rect l="l" t="t" r="r" b="b"/>
                          <a:pathLst>
                            <a:path w="5387975">
                              <a:moveTo>
                                <a:pt x="0" y="0"/>
                              </a:moveTo>
                              <a:lnTo>
                                <a:pt x="5387898" y="0"/>
                              </a:lnTo>
                            </a:path>
                          </a:pathLst>
                        </a:custGeom>
                        <a:ln w="19050"/>
                      </wps:spPr>
                      <wps:style>
                        <a:lnRef idx="1">
                          <a:schemeClr val="dk1"/>
                        </a:lnRef>
                        <a:fillRef idx="0">
                          <a:schemeClr val="dk1"/>
                        </a:fillRef>
                        <a:effectRef idx="0">
                          <a:schemeClr val="dk1"/>
                        </a:effectRef>
                        <a:fontRef idx="minor">
                          <a:schemeClr val="tx1"/>
                        </a:fontRef>
                      </wps:style>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50" o:spid="_x0000_s1026" style="position:absolute;margin-left:9pt;margin-top:89.9pt;width:519.75pt;height:3.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38797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" path="m,l5387898,e" filled="f" strokecolor="black [3040]" strokeweight="1.5pt">
                <v:path arrowok="t"/>
              </v:shape>
            </w:pict>
          </mc:Fallback>
        </mc:AlternateContent>
      </w:r>
      <w:r>
        <w:rPr>
          <w:noProof/>
          <w:sz w:val="15"/>
        </w:rPr>
        <mc:AlternateContent>
          <mc:Choice Requires="wps">
            <w:drawing>
              <wp:anchor distT="0" distB="0" distL="0" distR="0" simplePos="0" relativeHeight="251661312" behindDoc="1" locked="0" layoutInCell="1" allowOverlap="1" wp14:anchorId="02850CC0" wp14:editId="4546D5FA">
                <wp:simplePos x="0" y="0"/>
                <wp:positionH relativeFrom="page">
                  <wp:posOffset>1616710</wp:posOffset>
                </wp:positionH>
                <wp:positionV relativeFrom="paragraph">
                  <wp:posOffset>28575</wp:posOffset>
                </wp:positionV>
                <wp:extent cx="4510405" cy="990600"/>
                <wp:effectExtent l="0" t="0" r="4445"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0405" cy="990600"/>
                        </a:xfrm>
                        <a:prstGeom prst="rect">
                          <a:avLst/>
                        </a:prstGeom>
                        <a:solidFill>
                          <a:srgbClr val="EDEDED"/>
                        </a:solidFill>
                      </wps:spPr>
                      <wps:txbx>
                        <w:txbxContent>
                          <w:p w:rsidR="00304206" w:rsidRDefault="00304206" w:rsidP="00304206">
                            <w:pPr>
                              <w:spacing w:before="54" w:line="256" w:lineRule="auto"/>
                              <w:ind w:left="1013" w:firstLine="1543"/>
                              <w:rPr>
                                <w:color w:val="000000"/>
                                <w:sz w:val="16"/>
                              </w:rPr>
                            </w:pPr>
                            <w:r>
                              <w:rPr>
                                <w:color w:val="231F20"/>
                                <w:w w:val="120"/>
                                <w:sz w:val="16"/>
                              </w:rPr>
                              <w:t xml:space="preserve">Content list available at: </w:t>
                            </w:r>
                            <w:hyperlink r:id="rId11">
                              <w:r>
                                <w:rPr>
                                  <w:color w:val="7A8082"/>
                                  <w:spacing w:val="-2"/>
                                  <w:w w:val="115"/>
                                  <w:sz w:val="16"/>
                                </w:rPr>
                                <w:t>https://journals.carc.com.pk/index.php/CRISS/issue/view/10</w:t>
                              </w:r>
                            </w:hyperlink>
                          </w:p>
                          <w:p w:rsidR="00304206" w:rsidRDefault="00304206" w:rsidP="00304206">
                            <w:pPr>
                              <w:spacing w:before="166"/>
                              <w:ind w:left="1" w:right="65"/>
                              <w:jc w:val="center"/>
                              <w:rPr>
                                <w:color w:val="000000"/>
                                <w:sz w:val="30"/>
                              </w:rPr>
                            </w:pPr>
                            <w:r>
                              <w:rPr>
                                <w:color w:val="231F20"/>
                                <w:w w:val="120"/>
                                <w:sz w:val="30"/>
                              </w:rPr>
                              <w:t>CARC</w:t>
                            </w:r>
                            <w:r>
                              <w:rPr>
                                <w:color w:val="231F20"/>
                                <w:spacing w:val="3"/>
                                <w:w w:val="120"/>
                                <w:sz w:val="30"/>
                              </w:rPr>
                              <w:t xml:space="preserve"> </w:t>
                            </w:r>
                            <w:r>
                              <w:rPr>
                                <w:color w:val="231F20"/>
                                <w:w w:val="120"/>
                                <w:sz w:val="30"/>
                              </w:rPr>
                              <w:t>Research</w:t>
                            </w:r>
                            <w:r>
                              <w:rPr>
                                <w:color w:val="231F20"/>
                                <w:spacing w:val="4"/>
                                <w:w w:val="120"/>
                                <w:sz w:val="30"/>
                              </w:rPr>
                              <w:t xml:space="preserve"> </w:t>
                            </w:r>
                            <w:r>
                              <w:rPr>
                                <w:color w:val="231F20"/>
                                <w:w w:val="120"/>
                                <w:sz w:val="30"/>
                              </w:rPr>
                              <w:t>in</w:t>
                            </w:r>
                            <w:r>
                              <w:rPr>
                                <w:color w:val="231F20"/>
                                <w:spacing w:val="4"/>
                                <w:w w:val="120"/>
                                <w:sz w:val="30"/>
                              </w:rPr>
                              <w:t xml:space="preserve"> </w:t>
                            </w:r>
                            <w:r>
                              <w:rPr>
                                <w:color w:val="231F20"/>
                                <w:w w:val="120"/>
                                <w:sz w:val="30"/>
                              </w:rPr>
                              <w:t>Social</w:t>
                            </w:r>
                            <w:r>
                              <w:rPr>
                                <w:color w:val="231F20"/>
                                <w:spacing w:val="3"/>
                                <w:w w:val="120"/>
                                <w:sz w:val="30"/>
                              </w:rPr>
                              <w:t xml:space="preserve"> </w:t>
                            </w:r>
                            <w:r>
                              <w:rPr>
                                <w:color w:val="231F20"/>
                                <w:spacing w:val="-2"/>
                                <w:w w:val="120"/>
                                <w:sz w:val="30"/>
                              </w:rPr>
                              <w:t>Sciences</w:t>
                            </w:r>
                          </w:p>
                          <w:p w:rsidR="00304206" w:rsidRDefault="00304206" w:rsidP="00304206">
                            <w:pPr>
                              <w:spacing w:before="141"/>
                              <w:ind w:right="65"/>
                              <w:jc w:val="center"/>
                              <w:rPr>
                                <w:color w:val="000000"/>
                                <w:sz w:val="16"/>
                              </w:rPr>
                            </w:pPr>
                            <w:r>
                              <w:rPr>
                                <w:color w:val="231F20"/>
                                <w:w w:val="130"/>
                                <w:sz w:val="16"/>
                              </w:rPr>
                              <w:t>Journal</w:t>
                            </w:r>
                            <w:r>
                              <w:rPr>
                                <w:color w:val="231F20"/>
                                <w:spacing w:val="-3"/>
                                <w:w w:val="130"/>
                                <w:sz w:val="16"/>
                              </w:rPr>
                              <w:t xml:space="preserve"> </w:t>
                            </w:r>
                            <w:proofErr w:type="gramStart"/>
                            <w:r>
                              <w:rPr>
                                <w:color w:val="231F20"/>
                                <w:w w:val="130"/>
                                <w:sz w:val="16"/>
                              </w:rPr>
                              <w:t>homepage</w:t>
                            </w:r>
                            <w:r>
                              <w:rPr>
                                <w:color w:val="231F20"/>
                                <w:spacing w:val="-2"/>
                                <w:w w:val="130"/>
                                <w:sz w:val="16"/>
                              </w:rPr>
                              <w:t xml:space="preserve"> </w:t>
                            </w:r>
                            <w:r>
                              <w:rPr>
                                <w:color w:val="231F20"/>
                                <w:w w:val="130"/>
                                <w:sz w:val="16"/>
                              </w:rPr>
                              <w:t>:</w:t>
                            </w:r>
                            <w:proofErr w:type="gramEnd"/>
                            <w:r>
                              <w:rPr>
                                <w:color w:val="231F20"/>
                                <w:spacing w:val="-3"/>
                                <w:w w:val="130"/>
                                <w:sz w:val="16"/>
                              </w:rPr>
                              <w:t xml:space="preserve"> </w:t>
                            </w:r>
                            <w:hyperlink r:id="rId12">
                              <w:r>
                                <w:rPr>
                                  <w:color w:val="808080"/>
                                  <w:spacing w:val="-2"/>
                                  <w:w w:val="130"/>
                                  <w:sz w:val="16"/>
                                </w:rPr>
                                <w:t>journals.carc.com.pk</w:t>
                              </w:r>
                            </w:hyperlink>
                          </w:p>
                        </w:txbxContent>
                      </wps:txbx>
                      <wps:bodyPr wrap="square" lIns="0" tIns="0" rIns="0" bIns="0" rtlCol="0">
                        <a:noAutofit/>
                      </wps:bodyPr>
                    </wps:wsp>
                  </a:graphicData>
                </a:graphic>
                <wp14:sizeRelV relativeFrom="margin">
                  <wp14:pctHeight>0</wp14:pctHeight>
                </wp14:sizeRelV>
              </wp:anchor>
            </w:drawing>
          </mc:Choice>
          <mc:Fallback>
            <w:pict>
              <v:shape id="Textbox 2" o:spid="_x0000_s1027" type="#_x0000_t202" style="position:absolute;margin-left:127.3pt;margin-top:2.25pt;width:355.15pt;height:78pt;z-index:-2516551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" fillcolor="#ededed" stroked="f">
                <v:path arrowok="t"/>
                <v:textbox inset="0,0,0,0">
                  <w:txbxContent>
                    <w:p w:rsidR="00304206" w:rsidRDefault="00304206" w:rsidP="00304206">
                      <w:pPr>
                        <w:spacing w:before="54" w:line="256" w:lineRule="auto"/>
                        <w:ind w:left="1013" w:firstLine="1543"/>
                        <w:rPr>
                          <w:color w:val="000000"/>
                          <w:sz w:val="16"/>
                        </w:rPr>
                      </w:pPr>
                      <w:r>
                        <w:rPr>
                          <w:color w:val="231F20"/>
                          <w:w w:val="120"/>
                          <w:sz w:val="16"/>
                        </w:rPr>
                        <w:t xml:space="preserve">Content list available at: </w:t>
                      </w:r>
                      <w:hyperlink r:id="rId13">
                        <w:r>
                          <w:rPr>
                            <w:color w:val="7A8082"/>
                            <w:spacing w:val="-2"/>
                            <w:w w:val="115"/>
                            <w:sz w:val="16"/>
                          </w:rPr>
                          <w:t>https://journals.carc.com.pk/index.php/CRISS/issue/view/10</w:t>
                        </w:r>
                      </w:hyperlink>
                    </w:p>
                    <w:p w:rsidR="00304206" w:rsidRDefault="00304206" w:rsidP="00304206">
                      <w:pPr>
                        <w:spacing w:before="166"/>
                        <w:ind w:left="1" w:right="65"/>
                        <w:jc w:val="center"/>
                        <w:rPr>
                          <w:color w:val="000000"/>
                          <w:sz w:val="30"/>
                        </w:rPr>
                      </w:pPr>
                      <w:r>
                        <w:rPr>
                          <w:color w:val="231F20"/>
                          <w:w w:val="120"/>
                          <w:sz w:val="30"/>
                        </w:rPr>
                        <w:t>CARC</w:t>
                      </w:r>
                      <w:r>
                        <w:rPr>
                          <w:color w:val="231F20"/>
                          <w:spacing w:val="3"/>
                          <w:w w:val="120"/>
                          <w:sz w:val="30"/>
                        </w:rPr>
                        <w:t xml:space="preserve"> </w:t>
                      </w:r>
                      <w:r>
                        <w:rPr>
                          <w:color w:val="231F20"/>
                          <w:w w:val="120"/>
                          <w:sz w:val="30"/>
                        </w:rPr>
                        <w:t>Research</w:t>
                      </w:r>
                      <w:r>
                        <w:rPr>
                          <w:color w:val="231F20"/>
                          <w:spacing w:val="4"/>
                          <w:w w:val="120"/>
                          <w:sz w:val="30"/>
                        </w:rPr>
                        <w:t xml:space="preserve"> </w:t>
                      </w:r>
                      <w:r>
                        <w:rPr>
                          <w:color w:val="231F20"/>
                          <w:w w:val="120"/>
                          <w:sz w:val="30"/>
                        </w:rPr>
                        <w:t>in</w:t>
                      </w:r>
                      <w:r>
                        <w:rPr>
                          <w:color w:val="231F20"/>
                          <w:spacing w:val="4"/>
                          <w:w w:val="120"/>
                          <w:sz w:val="30"/>
                        </w:rPr>
                        <w:t xml:space="preserve"> </w:t>
                      </w:r>
                      <w:r>
                        <w:rPr>
                          <w:color w:val="231F20"/>
                          <w:w w:val="120"/>
                          <w:sz w:val="30"/>
                        </w:rPr>
                        <w:t>Social</w:t>
                      </w:r>
                      <w:r>
                        <w:rPr>
                          <w:color w:val="231F20"/>
                          <w:spacing w:val="3"/>
                          <w:w w:val="120"/>
                          <w:sz w:val="30"/>
                        </w:rPr>
                        <w:t xml:space="preserve"> </w:t>
                      </w:r>
                      <w:r>
                        <w:rPr>
                          <w:color w:val="231F20"/>
                          <w:spacing w:val="-2"/>
                          <w:w w:val="120"/>
                          <w:sz w:val="30"/>
                        </w:rPr>
                        <w:t>Sciences</w:t>
                      </w:r>
                    </w:p>
                    <w:p w:rsidR="00304206" w:rsidRDefault="00304206" w:rsidP="00304206">
                      <w:pPr>
                        <w:spacing w:before="141"/>
                        <w:ind w:right="65"/>
                        <w:jc w:val="center"/>
                        <w:rPr>
                          <w:color w:val="000000"/>
                          <w:sz w:val="16"/>
                        </w:rPr>
                      </w:pPr>
                      <w:r>
                        <w:rPr>
                          <w:color w:val="231F20"/>
                          <w:w w:val="130"/>
                          <w:sz w:val="16"/>
                        </w:rPr>
                        <w:t>Journal</w:t>
                      </w:r>
                      <w:r>
                        <w:rPr>
                          <w:color w:val="231F20"/>
                          <w:spacing w:val="-3"/>
                          <w:w w:val="130"/>
                          <w:sz w:val="16"/>
                        </w:rPr>
                        <w:t xml:space="preserve"> </w:t>
                      </w:r>
                      <w:proofErr w:type="gramStart"/>
                      <w:r>
                        <w:rPr>
                          <w:color w:val="231F20"/>
                          <w:w w:val="130"/>
                          <w:sz w:val="16"/>
                        </w:rPr>
                        <w:t>homepage</w:t>
                      </w:r>
                      <w:r>
                        <w:rPr>
                          <w:color w:val="231F20"/>
                          <w:spacing w:val="-2"/>
                          <w:w w:val="130"/>
                          <w:sz w:val="16"/>
                        </w:rPr>
                        <w:t xml:space="preserve"> </w:t>
                      </w:r>
                      <w:r>
                        <w:rPr>
                          <w:color w:val="231F20"/>
                          <w:w w:val="130"/>
                          <w:sz w:val="16"/>
                        </w:rPr>
                        <w:t>:</w:t>
                      </w:r>
                      <w:proofErr w:type="gramEnd"/>
                      <w:r>
                        <w:rPr>
                          <w:color w:val="231F20"/>
                          <w:spacing w:val="-3"/>
                          <w:w w:val="130"/>
                          <w:sz w:val="16"/>
                        </w:rPr>
                        <w:t xml:space="preserve"> </w:t>
                      </w:r>
                      <w:hyperlink r:id="rId14">
                        <w:r>
                          <w:rPr>
                            <w:color w:val="808080"/>
                            <w:spacing w:val="-2"/>
                            <w:w w:val="130"/>
                            <w:sz w:val="16"/>
                          </w:rPr>
                          <w:t>journals.carc.com.pk</w:t>
                        </w:r>
                      </w:hyperlink>
                    </w:p>
                  </w:txbxContent>
                </v:textbox>
                <w10:wrap type="topAndBottom" anchorx="page"/>
              </v:shape>
            </w:pict>
          </mc:Fallback>
        </mc:AlternateContent>
      </w:r>
      <w:r>
        <w:tab/>
      </w:r>
    </w:p>
    <w:p w:rsidR="00304206" w:rsidRDefault="001D45B8" w:rsidP="00304206">
      <w:pPr>
        <w:spacing w:line="360" w:lineRule="auto"/>
        <w:jc w:val="both"/>
        <w:rPr>
          <w:rFonts w:asciiTheme="majorHAnsi" w:hAnsiTheme="majorHAnsi" w:cs="Times New Roman"/>
          <w:b/>
          <w:bCs/>
        </w:rPr>
      </w:pPr>
      <w:r>
        <w:rPr>
          <w:noProof/>
        </w:rPr>
        <w:drawing>
          <wp:anchor distT="0" distB="0" distL="114300" distR="114300" simplePos="0" relativeHeight="251672576" behindDoc="0" locked="0" layoutInCell="1" allowOverlap="1" wp14:anchorId="380D2D61" wp14:editId="6C92C059">
            <wp:simplePos x="0" y="0"/>
            <wp:positionH relativeFrom="column">
              <wp:posOffset>5886450</wp:posOffset>
            </wp:positionH>
            <wp:positionV relativeFrom="paragraph">
              <wp:posOffset>56515</wp:posOffset>
            </wp:positionV>
            <wp:extent cx="914400" cy="904875"/>
            <wp:effectExtent l="0" t="0" r="0" b="9525"/>
            <wp:wrapNone/>
            <wp:docPr id="69" name="Image 69">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69" name="Image 69">
                      <a:hlinkClick r:id="rId15"/>
                    </pic:cNvPr>
                    <pic:cNvPicPr/>
                  </pic:nvPicPr>
                  <pic:blipFill>
                    <a:blip r:embed="rId16" cstate="print"/>
                    <a:stretch>
                      <a:fillRect/>
                    </a:stretch>
                  </pic:blipFill>
                  <pic:spPr>
                    <a:xfrm>
                      <a:off x="0" y="0"/>
                      <a:ext cx="915181" cy="905648"/>
                    </a:xfrm>
                    <a:prstGeom prst="rect">
                      <a:avLst/>
                    </a:prstGeom>
                  </pic:spPr>
                </pic:pic>
              </a:graphicData>
            </a:graphic>
            <wp14:sizeRelH relativeFrom="margin">
              <wp14:pctWidth>0</wp14:pctWidth>
            </wp14:sizeRelH>
            <wp14:sizeRelV relativeFrom="margin">
              <wp14:pctHeight>0</wp14:pctHeight>
            </wp14:sizeRelV>
          </wp:anchor>
        </w:drawing>
      </w:r>
      <w:r w:rsidR="00304206" w:rsidRPr="00054753">
        <w:rPr>
          <w:rFonts w:asciiTheme="majorHAnsi" w:hAnsiTheme="majorHAnsi" w:cs="Times New Roman"/>
          <w:b/>
          <w:bCs/>
        </w:rPr>
        <w:t xml:space="preserve">THE GIG ECONOMY'S FLEXIBILITY PREMIUM: A COST-BENEFIT ANALYSIS OF </w:t>
      </w:r>
    </w:p>
    <w:p w:rsidR="001D45B8" w:rsidRDefault="001D45B8" w:rsidP="001D45B8">
      <w:pPr>
        <w:spacing w:line="360" w:lineRule="auto"/>
        <w:jc w:val="both"/>
        <w:rPr>
          <w:rFonts w:asciiTheme="majorHAnsi" w:hAnsiTheme="majorHAnsi" w:cs="Times New Roman"/>
          <w:b/>
          <w:bCs/>
        </w:rPr>
      </w:pPr>
      <w:r>
        <w:rPr>
          <w:rFonts w:asciiTheme="majorHAnsi" w:hAnsiTheme="majorHAnsi" w:cs="Times New Roman"/>
          <w:b/>
          <w:bCs/>
        </w:rPr>
        <w:t>LABOR MARKET PRECARITY</w:t>
      </w:r>
    </w:p>
    <w:p w:rsidR="00304206" w:rsidRPr="001D45B8" w:rsidRDefault="00304206" w:rsidP="001D45B8">
      <w:pPr>
        <w:spacing w:line="360" w:lineRule="auto"/>
        <w:jc w:val="both"/>
        <w:rPr>
          <w:rFonts w:asciiTheme="majorHAnsi" w:hAnsiTheme="majorHAnsi" w:cs="Times New Roman"/>
          <w:b/>
          <w:bCs/>
        </w:rPr>
      </w:pPr>
      <w:proofErr w:type="spellStart"/>
      <w:r w:rsidRPr="00054753">
        <w:rPr>
          <w:rFonts w:asciiTheme="majorHAnsi" w:hAnsiTheme="majorHAnsi" w:cs="Times New Roman"/>
          <w:bCs/>
        </w:rPr>
        <w:t>Subhan</w:t>
      </w:r>
      <w:proofErr w:type="spellEnd"/>
      <w:r w:rsidRPr="00054753">
        <w:rPr>
          <w:rFonts w:asciiTheme="majorHAnsi" w:hAnsiTheme="majorHAnsi" w:cs="Times New Roman"/>
          <w:bCs/>
        </w:rPr>
        <w:t xml:space="preserve"> </w:t>
      </w:r>
      <w:proofErr w:type="spellStart"/>
      <w:r w:rsidRPr="00054753">
        <w:rPr>
          <w:rFonts w:asciiTheme="majorHAnsi" w:hAnsiTheme="majorHAnsi" w:cs="Times New Roman"/>
          <w:bCs/>
        </w:rPr>
        <w:t>Mirza</w:t>
      </w:r>
      <w:proofErr w:type="spellEnd"/>
      <w:r w:rsidRPr="00054753">
        <w:rPr>
          <w:rFonts w:asciiTheme="majorHAnsi" w:hAnsiTheme="majorHAnsi" w:cs="Times New Roman"/>
          <w:bCs/>
        </w:rPr>
        <w:t xml:space="preserve">*, </w:t>
      </w:r>
      <w:proofErr w:type="spellStart"/>
      <w:r w:rsidRPr="00054753">
        <w:rPr>
          <w:rFonts w:asciiTheme="majorHAnsi" w:hAnsiTheme="majorHAnsi" w:cs="Times New Roman"/>
          <w:bCs/>
        </w:rPr>
        <w:t>Sohail</w:t>
      </w:r>
      <w:proofErr w:type="spellEnd"/>
      <w:r w:rsidRPr="00054753">
        <w:rPr>
          <w:rFonts w:asciiTheme="majorHAnsi" w:hAnsiTheme="majorHAnsi" w:cs="Times New Roman"/>
          <w:bCs/>
        </w:rPr>
        <w:t xml:space="preserve"> Ahmad </w:t>
      </w:r>
    </w:p>
    <w:p w:rsidR="00304206" w:rsidRPr="00054753" w:rsidRDefault="00304206" w:rsidP="00304206">
      <w:pPr>
        <w:pBdr>
          <w:bottom w:val="single" w:sz="12" w:space="1" w:color="auto"/>
        </w:pBdr>
        <w:spacing w:line="360" w:lineRule="auto"/>
        <w:rPr>
          <w:rFonts w:ascii="Times New Roman" w:hAnsi="Times New Roman" w:cs="Times New Roman"/>
          <w:bCs/>
          <w:sz w:val="20"/>
        </w:rPr>
      </w:pPr>
      <w:r w:rsidRPr="00054753">
        <w:rPr>
          <w:rFonts w:asciiTheme="majorHAnsi" w:hAnsiTheme="majorHAnsi" w:cs="Times New Roman"/>
          <w:bCs/>
          <w:sz w:val="20"/>
        </w:rPr>
        <w:t>University of Punjab, Lahore</w:t>
      </w:r>
    </w:p>
    <w:p w:rsidR="001D45B8" w:rsidRPr="00801138" w:rsidRDefault="001D45B8" w:rsidP="00BE0F3C">
      <w:pPr>
        <w:shd w:val="clear" w:color="auto" w:fill="EEECE1" w:themeFill="background2"/>
        <w:tabs>
          <w:tab w:val="right" w:pos="10800"/>
        </w:tabs>
        <w:rPr>
          <w:rFonts w:asciiTheme="majorHAnsi" w:hAnsiTheme="majorHAnsi"/>
          <w:outline/>
          <w:color w:val="000000"/>
          <w14:shadow w14:blurRad="38100" w14:dist="32004" w14:dir="5400000" w14:sx="100000" w14:sy="100000" w14:kx="0" w14:ky="0" w14:algn="tl">
            <w14:srgbClr w14:val="000000">
              <w14:alpha w14:val="70000"/>
            </w14:srgbClr>
          </w14:shadow>
          <w14:textOutline w14:w="5080" w14:cap="flat" w14:cmpd="sng" w14:algn="ctr">
            <w14:solidFill>
              <w14:srgbClr w14:val="000000"/>
            </w14:solidFill>
            <w14:prstDash w14:val="solid"/>
            <w14:round/>
          </w14:textOutline>
          <w14:textFill>
            <w14:solidFill>
              <w14:srgbClr w14:val="FFFFFF"/>
            </w14:solidFill>
          </w14:textFill>
        </w:rPr>
      </w:pPr>
      <w:r w:rsidRPr="00801138">
        <w:rPr>
          <w:rFonts w:asciiTheme="majorHAnsi" w:hAnsiTheme="majorHAnsi"/>
          <w:outline/>
          <w:color w:val="000000"/>
          <w14:shadow w14:blurRad="38100" w14:dist="32004" w14:dir="5400000" w14:sx="100000" w14:sy="100000" w14:kx="0" w14:ky="0" w14:algn="tl">
            <w14:srgbClr w14:val="000000">
              <w14:alpha w14:val="70000"/>
            </w14:srgbClr>
          </w14:shadow>
          <w14:textOutline w14:w="5080" w14:cap="flat" w14:cmpd="sng" w14:algn="ctr">
            <w14:solidFill>
              <w14:srgbClr w14:val="000000"/>
            </w14:solidFill>
            <w14:prstDash w14:val="solid"/>
            <w14:round/>
          </w14:textOutline>
          <w14:textFill>
            <w14:solidFill>
              <w14:srgbClr w14:val="FFFFFF"/>
            </w14:solidFill>
          </w14:textFill>
        </w:rPr>
        <w:t>Abstract</w:t>
      </w:r>
    </w:p>
    <w:p w:rsidR="001D45B8" w:rsidRPr="00801138" w:rsidRDefault="001D45B8" w:rsidP="00BE0F3C">
      <w:pPr>
        <w:shd w:val="clear" w:color="auto" w:fill="EEECE1" w:themeFill="background2"/>
        <w:tabs>
          <w:tab w:val="right" w:pos="10800"/>
        </w:tabs>
        <w:jc w:val="both"/>
        <w:rPr>
          <w:rFonts w:asciiTheme="majorHAnsi" w:hAnsiTheme="majorHAnsi" w:cs="Times New Roman"/>
        </w:rPr>
      </w:pPr>
      <w:r w:rsidRPr="00801138">
        <w:rPr>
          <w:rFonts w:asciiTheme="majorHAnsi" w:hAnsiTheme="majorHAnsi" w:cs="Times New Roman"/>
        </w:rPr>
        <w:t>This paper presents the first detailed cost-benefit analysis of the premium of flexibility in gig work based on administrative tax survey data and primary survey data on 10,000 gig workers on large platforms (</w:t>
      </w:r>
      <w:proofErr w:type="spellStart"/>
      <w:r w:rsidRPr="00801138">
        <w:rPr>
          <w:rFonts w:asciiTheme="majorHAnsi" w:hAnsiTheme="majorHAnsi" w:cs="Times New Roman"/>
        </w:rPr>
        <w:t>Uber</w:t>
      </w:r>
      <w:proofErr w:type="spellEnd"/>
      <w:r w:rsidRPr="00801138">
        <w:rPr>
          <w:rFonts w:asciiTheme="majorHAnsi" w:hAnsiTheme="majorHAnsi" w:cs="Times New Roman"/>
        </w:rPr>
        <w:t xml:space="preserve">, </w:t>
      </w:r>
      <w:proofErr w:type="spellStart"/>
      <w:r w:rsidRPr="00801138">
        <w:rPr>
          <w:rFonts w:asciiTheme="majorHAnsi" w:hAnsiTheme="majorHAnsi" w:cs="Times New Roman"/>
        </w:rPr>
        <w:t>TaskRabbit</w:t>
      </w:r>
      <w:proofErr w:type="spellEnd"/>
      <w:r w:rsidRPr="00801138">
        <w:rPr>
          <w:rFonts w:asciiTheme="majorHAnsi" w:hAnsiTheme="majorHAnsi" w:cs="Times New Roman"/>
        </w:rPr>
        <w:t xml:space="preserve">, </w:t>
      </w:r>
      <w:proofErr w:type="spellStart"/>
      <w:proofErr w:type="gramStart"/>
      <w:r w:rsidRPr="00801138">
        <w:rPr>
          <w:rFonts w:asciiTheme="majorHAnsi" w:hAnsiTheme="majorHAnsi" w:cs="Times New Roman"/>
        </w:rPr>
        <w:t>Upwork</w:t>
      </w:r>
      <w:proofErr w:type="spellEnd"/>
      <w:proofErr w:type="gramEnd"/>
      <w:r w:rsidRPr="00801138">
        <w:rPr>
          <w:rFonts w:asciiTheme="majorHAnsi" w:hAnsiTheme="majorHAnsi" w:cs="Times New Roman"/>
        </w:rPr>
        <w:t xml:space="preserve">) in 2022-2024. We estimate a mean gross flexibility premium of 4.20 hours per hour the wage difference workers are paid to have scheduling flexibility. This premium is however more than compensated by </w:t>
      </w:r>
      <w:proofErr w:type="gramStart"/>
      <w:r w:rsidRPr="00801138">
        <w:rPr>
          <w:rFonts w:asciiTheme="majorHAnsi" w:hAnsiTheme="majorHAnsi" w:cs="Times New Roman"/>
        </w:rPr>
        <w:t xml:space="preserve">this </w:t>
      </w:r>
      <w:proofErr w:type="spellStart"/>
      <w:r w:rsidRPr="00801138">
        <w:rPr>
          <w:rFonts w:asciiTheme="majorHAnsi" w:hAnsiTheme="majorHAnsi" w:cs="Times New Roman"/>
        </w:rPr>
        <w:t>precarity</w:t>
      </w:r>
      <w:proofErr w:type="spellEnd"/>
      <w:r w:rsidRPr="00801138">
        <w:rPr>
          <w:rFonts w:asciiTheme="majorHAnsi" w:hAnsiTheme="majorHAnsi" w:cs="Times New Roman"/>
        </w:rPr>
        <w:t xml:space="preserve"> costs</w:t>
      </w:r>
      <w:proofErr w:type="gramEnd"/>
      <w:r w:rsidRPr="00801138">
        <w:rPr>
          <w:rFonts w:asciiTheme="majorHAnsi" w:hAnsiTheme="majorHAnsi" w:cs="Times New Roman"/>
        </w:rPr>
        <w:t xml:space="preserve"> of: health insurance setbacks (costs of $2.80/</w:t>
      </w:r>
      <w:proofErr w:type="spellStart"/>
      <w:r w:rsidRPr="00801138">
        <w:rPr>
          <w:rFonts w:asciiTheme="majorHAnsi" w:hAnsiTheme="majorHAnsi" w:cs="Times New Roman"/>
        </w:rPr>
        <w:t>hr</w:t>
      </w:r>
      <w:proofErr w:type="spellEnd"/>
      <w:r w:rsidRPr="00801138">
        <w:rPr>
          <w:rFonts w:asciiTheme="majorHAnsi" w:hAnsiTheme="majorHAnsi" w:cs="Times New Roman"/>
        </w:rPr>
        <w:t>), retirement contribution losses (costs of 1.45/</w:t>
      </w:r>
      <w:proofErr w:type="spellStart"/>
      <w:r w:rsidRPr="00801138">
        <w:rPr>
          <w:rFonts w:asciiTheme="majorHAnsi" w:hAnsiTheme="majorHAnsi" w:cs="Times New Roman"/>
        </w:rPr>
        <w:t>hr</w:t>
      </w:r>
      <w:proofErr w:type="spellEnd"/>
      <w:r w:rsidRPr="00801138">
        <w:rPr>
          <w:rFonts w:asciiTheme="majorHAnsi" w:hAnsiTheme="majorHAnsi" w:cs="Times New Roman"/>
        </w:rPr>
        <w:t>), self-employment taxes penalties (costs of 0.95/</w:t>
      </w:r>
      <w:proofErr w:type="spellStart"/>
      <w:r w:rsidRPr="00801138">
        <w:rPr>
          <w:rFonts w:asciiTheme="majorHAnsi" w:hAnsiTheme="majorHAnsi" w:cs="Times New Roman"/>
        </w:rPr>
        <w:t>hr</w:t>
      </w:r>
      <w:proofErr w:type="spellEnd"/>
      <w:r w:rsidRPr="00801138">
        <w:rPr>
          <w:rFonts w:asciiTheme="majorHAnsi" w:hAnsiTheme="majorHAnsi" w:cs="Times New Roman"/>
        </w:rPr>
        <w:t>), risk of income volatility (costs of 0.40/</w:t>
      </w:r>
      <w:proofErr w:type="spellStart"/>
      <w:r w:rsidRPr="00801138">
        <w:rPr>
          <w:rFonts w:asciiTheme="majorHAnsi" w:hAnsiTheme="majorHAnsi" w:cs="Times New Roman"/>
        </w:rPr>
        <w:t>hr</w:t>
      </w:r>
      <w:proofErr w:type="spellEnd"/>
      <w:r w:rsidRPr="00801138">
        <w:rPr>
          <w:rFonts w:asciiTheme="majorHAnsi" w:hAnsiTheme="majorHAnsi" w:cs="Times New Roman"/>
        </w:rPr>
        <w:t>) and gaps in workers compensation (costs of 0.20/</w:t>
      </w:r>
      <w:proofErr w:type="spellStart"/>
      <w:r w:rsidRPr="00801138">
        <w:rPr>
          <w:rFonts w:asciiTheme="majorHAnsi" w:hAnsiTheme="majorHAnsi" w:cs="Times New Roman"/>
        </w:rPr>
        <w:t>hr</w:t>
      </w:r>
      <w:proofErr w:type="spellEnd"/>
      <w:r w:rsidRPr="00801138">
        <w:rPr>
          <w:rFonts w:asciiTheme="majorHAnsi" w:hAnsiTheme="majorHAnsi" w:cs="Times New Roman"/>
        </w:rPr>
        <w:t xml:space="preserve">). Net welfare analysis finds that the median worker has negative net hourly returns of -1.60, but this has a considerable level of heterogeneity: high-skilled freelancers ( </w:t>
      </w:r>
      <w:proofErr w:type="spellStart"/>
      <w:r w:rsidRPr="00801138">
        <w:rPr>
          <w:rFonts w:asciiTheme="majorHAnsi" w:hAnsiTheme="majorHAnsi" w:cs="Times New Roman"/>
        </w:rPr>
        <w:t>Upwork</w:t>
      </w:r>
      <w:proofErr w:type="spellEnd"/>
      <w:r w:rsidRPr="00801138">
        <w:rPr>
          <w:rFonts w:asciiTheme="majorHAnsi" w:hAnsiTheme="majorHAnsi" w:cs="Times New Roman"/>
        </w:rPr>
        <w:t xml:space="preserve"> ) have net returns of +3.20/hour and low-skill platform workers ( </w:t>
      </w:r>
      <w:proofErr w:type="spellStart"/>
      <w:r w:rsidRPr="00801138">
        <w:rPr>
          <w:rFonts w:asciiTheme="majorHAnsi" w:hAnsiTheme="majorHAnsi" w:cs="Times New Roman"/>
        </w:rPr>
        <w:t>Uber</w:t>
      </w:r>
      <w:proofErr w:type="spellEnd"/>
      <w:r w:rsidRPr="00801138">
        <w:rPr>
          <w:rFonts w:asciiTheme="majorHAnsi" w:hAnsiTheme="majorHAnsi" w:cs="Times New Roman"/>
        </w:rPr>
        <w:t xml:space="preserve">, </w:t>
      </w:r>
      <w:proofErr w:type="spellStart"/>
      <w:r w:rsidRPr="00801138">
        <w:rPr>
          <w:rFonts w:asciiTheme="majorHAnsi" w:hAnsiTheme="majorHAnsi" w:cs="Times New Roman"/>
        </w:rPr>
        <w:t>TaskRabbit</w:t>
      </w:r>
      <w:proofErr w:type="spellEnd"/>
      <w:r w:rsidRPr="00801138">
        <w:rPr>
          <w:rFonts w:asciiTheme="majorHAnsi" w:hAnsiTheme="majorHAnsi" w:cs="Times New Roman"/>
        </w:rPr>
        <w:t xml:space="preserve"> ) have net returns of -3.10/hour. Age stratifying reveals workers below 35 years experiencing -2.40/ hour net expenses because of lower minimum wages and higher insurance costs, and workers over 55 years experiencing -0.80/ hour because of lowered health cost gaps because of Medicare eligibility. Analysis of tax records shows that income volatility is 3.4 times greater among gig workers as opposed to traditional workers, with 34 percent of the gig workers experiencing fluctuation in income greater than 50 percent every month-to-month. Systematic misperception of survey data, 72% of new gig workers are overestimating the value of flexibility by 40-60% and underestimating the costs of benefits. Simulations of policies show that a portable benefits mandate would drive net costs to -$0.50/hour and 85 percent of flexibility value will be maintained. We suggest the Flexibility-</w:t>
      </w:r>
      <w:proofErr w:type="spellStart"/>
      <w:r w:rsidRPr="00801138">
        <w:rPr>
          <w:rFonts w:asciiTheme="majorHAnsi" w:hAnsiTheme="majorHAnsi" w:cs="Times New Roman"/>
        </w:rPr>
        <w:t>Precarity</w:t>
      </w:r>
      <w:proofErr w:type="spellEnd"/>
      <w:r w:rsidRPr="00801138">
        <w:rPr>
          <w:rFonts w:asciiTheme="majorHAnsi" w:hAnsiTheme="majorHAnsi" w:cs="Times New Roman"/>
        </w:rPr>
        <w:t xml:space="preserve"> Transparency Act of which platforms will reveal the real net earnings after making benefits adjustments. The results are important to the portable benefits legislation, platform regulation and worker classification controversies.</w:t>
      </w:r>
    </w:p>
    <w:p w:rsidR="00BE0F3C" w:rsidRPr="00801138" w:rsidRDefault="00BE0F3C" w:rsidP="00BE0F3C">
      <w:pPr>
        <w:pBdr>
          <w:bottom w:val="single" w:sz="12" w:space="1" w:color="auto"/>
        </w:pBdr>
        <w:shd w:val="clear" w:color="auto" w:fill="EEECE1" w:themeFill="background2"/>
        <w:spacing w:line="360" w:lineRule="auto"/>
        <w:jc w:val="both"/>
        <w:rPr>
          <w:rFonts w:asciiTheme="majorHAnsi" w:hAnsiTheme="majorHAnsi" w:cs="Times New Roman"/>
        </w:rPr>
      </w:pPr>
      <w:r w:rsidRPr="00801138">
        <w:rPr>
          <w:rFonts w:asciiTheme="majorHAnsi" w:hAnsiTheme="majorHAnsi" w:cs="Times New Roman"/>
          <w:b/>
          <w:bCs/>
        </w:rPr>
        <w:t>Keywords:</w:t>
      </w:r>
      <w:r w:rsidRPr="00801138">
        <w:rPr>
          <w:rFonts w:asciiTheme="majorHAnsi" w:hAnsiTheme="majorHAnsi" w:cs="Times New Roman"/>
        </w:rPr>
        <w:t xml:space="preserve"> gig economy, labor </w:t>
      </w:r>
      <w:proofErr w:type="spellStart"/>
      <w:r w:rsidRPr="00801138">
        <w:rPr>
          <w:rFonts w:asciiTheme="majorHAnsi" w:hAnsiTheme="majorHAnsi" w:cs="Times New Roman"/>
        </w:rPr>
        <w:t>precarity</w:t>
      </w:r>
      <w:proofErr w:type="spellEnd"/>
      <w:r w:rsidRPr="00801138">
        <w:rPr>
          <w:rFonts w:asciiTheme="majorHAnsi" w:hAnsiTheme="majorHAnsi" w:cs="Times New Roman"/>
        </w:rPr>
        <w:t>, flexibility premium, cost-benefit analysis, platform labor, contingent work</w:t>
      </w:r>
    </w:p>
    <w:p w:rsidR="00BE0F3C" w:rsidRPr="00801138" w:rsidRDefault="00BE0F3C" w:rsidP="00BE0F3C">
      <w:pPr>
        <w:spacing w:line="240" w:lineRule="auto"/>
        <w:jc w:val="both"/>
        <w:rPr>
          <w:rFonts w:asciiTheme="majorHAnsi" w:hAnsiTheme="majorHAnsi" w:cs="Times New Roman"/>
          <w:b/>
          <w:bCs/>
        </w:rPr>
      </w:pPr>
      <w:r w:rsidRPr="00801138">
        <w:rPr>
          <w:rFonts w:asciiTheme="majorHAnsi" w:hAnsiTheme="majorHAnsi" w:cs="Times New Roman"/>
          <w:b/>
          <w:bCs/>
        </w:rPr>
        <w:t>INTRODUCTION</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The nature of this gig economy, which entails short-term and mediated through the platform labor contracts, has radically remodeled American labor, involving an estimated 75 million workers and producing an estimated 1.4 trillion of economic activity per year.</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lastRenderedPageBreak/>
        <w:t xml:space="preserve">Amazon applications such as </w:t>
      </w:r>
      <w:proofErr w:type="spellStart"/>
      <w:r w:rsidRPr="00801138">
        <w:rPr>
          <w:rFonts w:asciiTheme="majorHAnsi" w:hAnsiTheme="majorHAnsi" w:cs="Times New Roman"/>
        </w:rPr>
        <w:t>Uber</w:t>
      </w:r>
      <w:proofErr w:type="spellEnd"/>
      <w:r w:rsidRPr="00801138">
        <w:rPr>
          <w:rFonts w:asciiTheme="majorHAnsi" w:hAnsiTheme="majorHAnsi" w:cs="Times New Roman"/>
        </w:rPr>
        <w:t xml:space="preserve">, </w:t>
      </w:r>
      <w:proofErr w:type="spellStart"/>
      <w:r w:rsidRPr="00801138">
        <w:rPr>
          <w:rFonts w:asciiTheme="majorHAnsi" w:hAnsiTheme="majorHAnsi" w:cs="Times New Roman"/>
        </w:rPr>
        <w:t>TaskRabbit</w:t>
      </w:r>
      <w:proofErr w:type="spellEnd"/>
      <w:r w:rsidRPr="00801138">
        <w:rPr>
          <w:rFonts w:asciiTheme="majorHAnsi" w:hAnsiTheme="majorHAnsi" w:cs="Times New Roman"/>
        </w:rPr>
        <w:t xml:space="preserve">, and </w:t>
      </w:r>
      <w:proofErr w:type="spellStart"/>
      <w:r w:rsidRPr="00801138">
        <w:rPr>
          <w:rFonts w:asciiTheme="majorHAnsi" w:hAnsiTheme="majorHAnsi" w:cs="Times New Roman"/>
        </w:rPr>
        <w:t>Upwork</w:t>
      </w:r>
      <w:proofErr w:type="spellEnd"/>
      <w:r w:rsidRPr="00801138">
        <w:rPr>
          <w:rFonts w:asciiTheme="majorHAnsi" w:hAnsiTheme="majorHAnsi" w:cs="Times New Roman"/>
        </w:rPr>
        <w:t xml:space="preserve"> provide employees with unprecedented time freedom: workers determine schedules, choose work and regulate labor supply without management control. This flexibility is a core value selling point, and 68 percent of gig workers give schedule control as their most important reason.</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xml:space="preserve">But this freedom is a veil to reveal another similar truth: employees deemed as independent contractors lose access to employer-provided health care, retirement benefits, workers comp, and unemployment benefits. The compensating differentials model in labor economics reasons that employees who take up such benefit differentials would trade-off these benefits differentials at wage differentials which would be high enough to afford the same benefits privately. Empirical data indicate the converse, that gig workers receive $4.20 an hour less than similar traditional workers with ability and </w:t>
      </w:r>
      <w:proofErr w:type="gramStart"/>
      <w:r w:rsidRPr="00801138">
        <w:rPr>
          <w:rFonts w:asciiTheme="majorHAnsi" w:hAnsiTheme="majorHAnsi" w:cs="Times New Roman"/>
        </w:rPr>
        <w:t>hours</w:t>
      </w:r>
      <w:proofErr w:type="gramEnd"/>
      <w:r w:rsidRPr="00801138">
        <w:rPr>
          <w:rFonts w:asciiTheme="majorHAnsi" w:hAnsiTheme="majorHAnsi" w:cs="Times New Roman"/>
        </w:rPr>
        <w:t xml:space="preserve"> constant but assert that their jobs have value in flexibility.</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xml:space="preserve">The question in this research is: is flexibility indeed a compensation of </w:t>
      </w:r>
      <w:proofErr w:type="spellStart"/>
      <w:r w:rsidRPr="00801138">
        <w:rPr>
          <w:rFonts w:asciiTheme="majorHAnsi" w:hAnsiTheme="majorHAnsi" w:cs="Times New Roman"/>
        </w:rPr>
        <w:t>precarity</w:t>
      </w:r>
      <w:proofErr w:type="spellEnd"/>
      <w:r w:rsidRPr="00801138">
        <w:rPr>
          <w:rFonts w:asciiTheme="majorHAnsi" w:hAnsiTheme="majorHAnsi" w:cs="Times New Roman"/>
        </w:rPr>
        <w:t>?</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xml:space="preserve">The </w:t>
      </w:r>
      <w:proofErr w:type="spellStart"/>
      <w:r w:rsidRPr="00801138">
        <w:rPr>
          <w:rFonts w:asciiTheme="majorHAnsi" w:hAnsiTheme="majorHAnsi" w:cs="Times New Roman"/>
        </w:rPr>
        <w:t>precarity</w:t>
      </w:r>
      <w:proofErr w:type="spellEnd"/>
      <w:r w:rsidRPr="00801138">
        <w:rPr>
          <w:rFonts w:asciiTheme="majorHAnsi" w:hAnsiTheme="majorHAnsi" w:cs="Times New Roman"/>
        </w:rPr>
        <w:t xml:space="preserve"> cost concept, which is based on the theory of </w:t>
      </w:r>
      <w:proofErr w:type="spellStart"/>
      <w:r w:rsidRPr="00801138">
        <w:rPr>
          <w:rFonts w:asciiTheme="majorHAnsi" w:hAnsiTheme="majorHAnsi" w:cs="Times New Roman"/>
        </w:rPr>
        <w:t>precariat</w:t>
      </w:r>
      <w:proofErr w:type="spellEnd"/>
      <w:r w:rsidRPr="00801138">
        <w:rPr>
          <w:rFonts w:asciiTheme="majorHAnsi" w:hAnsiTheme="majorHAnsi" w:cs="Times New Roman"/>
        </w:rPr>
        <w:t xml:space="preserve"> developed by Guy Standing (2011), includes financial deficits and the financial instability of income, algorithmic control, as well as lack of social protection. According to recent BLS statistics, gig workers are subjected to 3.4 times more income instability than W-2 workers and 34 percent of gig workers have month-to-month earnings changes greater than 50 percent.</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Also, 80 percent of full-time freelancers note that they cannot afford an unexpected bill of over 1,000 dollars, which is in contrast to 37 percent of the traditional employees.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xml:space="preserve">These dangers are no hypothetical </w:t>
      </w:r>
      <w:proofErr w:type="gramStart"/>
      <w:r w:rsidRPr="00801138">
        <w:rPr>
          <w:rFonts w:asciiTheme="majorHAnsi" w:hAnsiTheme="majorHAnsi" w:cs="Times New Roman"/>
        </w:rPr>
        <w:t>ones,</w:t>
      </w:r>
      <w:proofErr w:type="gramEnd"/>
      <w:r w:rsidRPr="00801138">
        <w:rPr>
          <w:rFonts w:asciiTheme="majorHAnsi" w:hAnsiTheme="majorHAnsi" w:cs="Times New Roman"/>
        </w:rPr>
        <w:t xml:space="preserve"> they are seen in the form of slower medical services, reduced pension funds, and increased exposure to economic instability when times are bad.</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Nevertheless, although there is a lot of debate on the issue of worker classification (AB5 in California, Proposition 22), no exhaustive accounting of the overall net welfare change of gig work exists. In the current literature, we have records of the separate elements of costs, such as health insurance gaps, retirement shortfalls, tax penalties, but these elements are not combined into a cohesive cost-benefit model. Three critical gaps persist:</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1. Monetization Failure: Although flexibility is supposed to be valuable, none of the studies quantifies the dollar value of flexibility using the revealed preference and contingent valuation techniques.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2. Incomplete Costing: Research computes the costs of health insurance but excludes volatility risk premiums, equivalents of workers compensation, and shortfalls in retirement.</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3. Heterogeneity Blindness: The aggregate analysis hides the important variation on the basis of skill level, age, and type of platform, hiding the winners and losers.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This omission, coupled with advertisements of gross incomes of 25-35/hour and net incomes (after benefit alterations and risk premiums) under 15/hour, makes platforms comparable to minimum wage jobs with benefits.</w:t>
      </w:r>
    </w:p>
    <w:p w:rsidR="00BE0F3C" w:rsidRPr="00801138" w:rsidRDefault="00BE0F3C" w:rsidP="00BE0F3C">
      <w:pPr>
        <w:spacing w:line="240" w:lineRule="auto"/>
        <w:jc w:val="both"/>
        <w:rPr>
          <w:rFonts w:asciiTheme="majorHAnsi" w:hAnsiTheme="majorHAnsi" w:cs="Times New Roman"/>
          <w:b/>
        </w:rPr>
      </w:pPr>
      <w:r w:rsidRPr="00801138">
        <w:rPr>
          <w:rFonts w:asciiTheme="majorHAnsi" w:hAnsiTheme="majorHAnsi" w:cs="Times New Roman"/>
          <w:b/>
        </w:rPr>
        <w:t>Research Objectives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This paper fills these gaps with the help of four combined goals: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1. Monetize Flexibility Value: Compute the willingness-to-accept (WTA), flexibility as a premium of workers in terms of monetary terms using contingent valuation and revealed preference.</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xml:space="preserve">2. Measure </w:t>
      </w:r>
      <w:proofErr w:type="spellStart"/>
      <w:r w:rsidRPr="00801138">
        <w:rPr>
          <w:rFonts w:asciiTheme="majorHAnsi" w:hAnsiTheme="majorHAnsi" w:cs="Times New Roman"/>
        </w:rPr>
        <w:t>Precarity</w:t>
      </w:r>
      <w:proofErr w:type="spellEnd"/>
      <w:r w:rsidRPr="00801138">
        <w:rPr>
          <w:rFonts w:asciiTheme="majorHAnsi" w:hAnsiTheme="majorHAnsi" w:cs="Times New Roman"/>
        </w:rPr>
        <w:t xml:space="preserve"> Costs: Build an elaborate </w:t>
      </w:r>
      <w:proofErr w:type="spellStart"/>
      <w:r w:rsidRPr="00801138">
        <w:rPr>
          <w:rFonts w:asciiTheme="majorHAnsi" w:hAnsiTheme="majorHAnsi" w:cs="Times New Roman"/>
        </w:rPr>
        <w:t>Precarity</w:t>
      </w:r>
      <w:proofErr w:type="spellEnd"/>
      <w:r w:rsidRPr="00801138">
        <w:rPr>
          <w:rFonts w:asciiTheme="majorHAnsi" w:hAnsiTheme="majorHAnsi" w:cs="Times New Roman"/>
        </w:rPr>
        <w:t xml:space="preserve"> Cost Calculator adding the healthcare, retirement, tax, volatility, and insurance deficit.</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xml:space="preserve">3. Estimate Net Welfare Effects: Estimate net hourly returns (flexibility premium- </w:t>
      </w:r>
      <w:proofErr w:type="spellStart"/>
      <w:r w:rsidRPr="00801138">
        <w:rPr>
          <w:rFonts w:asciiTheme="majorHAnsi" w:hAnsiTheme="majorHAnsi" w:cs="Times New Roman"/>
        </w:rPr>
        <w:t>precarity</w:t>
      </w:r>
      <w:proofErr w:type="spellEnd"/>
      <w:r w:rsidRPr="00801138">
        <w:rPr>
          <w:rFonts w:asciiTheme="majorHAnsi" w:hAnsiTheme="majorHAnsi" w:cs="Times New Roman"/>
        </w:rPr>
        <w:t xml:space="preserve"> costs), categorized by platform type, skill level, age, and income quartile.</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4. Simulate Policy Interventions: Simulate the impact of portable benefits, minimum wage guarantees and tax equalization on net welfare.</w:t>
      </w:r>
    </w:p>
    <w:p w:rsidR="00BE0F3C" w:rsidRPr="00801138" w:rsidRDefault="00BE0F3C" w:rsidP="00BE0F3C">
      <w:pPr>
        <w:spacing w:line="240" w:lineRule="auto"/>
        <w:ind w:firstLine="720"/>
        <w:jc w:val="both"/>
        <w:rPr>
          <w:rFonts w:asciiTheme="majorHAnsi" w:hAnsiTheme="majorHAnsi" w:cs="Times New Roman"/>
        </w:rPr>
      </w:pPr>
      <w:r w:rsidRPr="00801138">
        <w:rPr>
          <w:rFonts w:asciiTheme="majorHAnsi" w:hAnsiTheme="majorHAnsi" w:cs="Times New Roman"/>
        </w:rPr>
        <w:lastRenderedPageBreak/>
        <w:t>Portable Benefits Legislation Utah, SB 233, Tennessee, SB 1377, and federal proposed Unlocking Benefits for Independent Workers Act seek to offer benefits without reclassification.</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The amount of funds that is needed to reach parity is quantified by cost and amounts to $5.80/hour per worker.</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Platform Regulation: The reclassification standards and minimum wage requirements of the Modern Worker Empowerment Act mandate that evidence on net earnings transparency is provided.</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w:t>
      </w:r>
      <w:r w:rsidRPr="00801138">
        <w:rPr>
          <w:rFonts w:asciiTheme="majorHAnsi" w:hAnsiTheme="majorHAnsi" w:cs="Times New Roman"/>
        </w:rPr>
        <w:tab/>
        <w:t xml:space="preserve">The Worker Classification Controversies: With the distinction between flexibility value and </w:t>
      </w:r>
      <w:proofErr w:type="spellStart"/>
      <w:r w:rsidRPr="00801138">
        <w:rPr>
          <w:rFonts w:asciiTheme="majorHAnsi" w:hAnsiTheme="majorHAnsi" w:cs="Times New Roman"/>
        </w:rPr>
        <w:t>precarity</w:t>
      </w:r>
      <w:proofErr w:type="spellEnd"/>
      <w:r w:rsidRPr="00801138">
        <w:rPr>
          <w:rFonts w:asciiTheme="majorHAnsi" w:hAnsiTheme="majorHAnsi" w:cs="Times New Roman"/>
        </w:rPr>
        <w:t xml:space="preserve"> costs, we give empirical support to tiered classification, where workers who work below some hours are awarded with partial benefits and the rest of the freelancers remain flexible.</w:t>
      </w:r>
    </w:p>
    <w:p w:rsidR="00BE0F3C" w:rsidRPr="00801138" w:rsidRDefault="00BE0F3C" w:rsidP="00BE0F3C">
      <w:pPr>
        <w:spacing w:line="240" w:lineRule="auto"/>
        <w:jc w:val="both"/>
        <w:rPr>
          <w:rFonts w:asciiTheme="majorHAnsi" w:hAnsiTheme="majorHAnsi" w:cs="Times New Roman"/>
          <w:b/>
        </w:rPr>
      </w:pPr>
      <w:r w:rsidRPr="00801138">
        <w:rPr>
          <w:rFonts w:asciiTheme="majorHAnsi" w:hAnsiTheme="majorHAnsi" w:cs="Times New Roman"/>
          <w:b/>
        </w:rPr>
        <w:t>LITERATURE REVIEW</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xml:space="preserve">According to the Compensating </w:t>
      </w:r>
      <w:proofErr w:type="spellStart"/>
      <w:r w:rsidRPr="00801138">
        <w:rPr>
          <w:rFonts w:asciiTheme="majorHAnsi" w:hAnsiTheme="majorHAnsi" w:cs="Times New Roman"/>
        </w:rPr>
        <w:t>Differials</w:t>
      </w:r>
      <w:proofErr w:type="spellEnd"/>
      <w:r w:rsidRPr="00801138">
        <w:rPr>
          <w:rFonts w:asciiTheme="majorHAnsi" w:hAnsiTheme="majorHAnsi" w:cs="Times New Roman"/>
        </w:rPr>
        <w:t xml:space="preserve"> Theory (Rosen, 1986), wages are adjusted to balance utility congruency among the jobs that possess varying non-wage attributes. The risky or disagreeable jobs attract a premium; the good facilities (flexibility) attract a discount. This tradeoff is modeled in the hedonic wage function as follows:</w:t>
      </w:r>
    </w:p>
    <w:p w:rsidR="00BE0F3C" w:rsidRPr="00801138" w:rsidRDefault="00BE0F3C" w:rsidP="00BE0F3C">
      <w:pPr>
        <w:spacing w:line="240" w:lineRule="auto"/>
        <w:jc w:val="both"/>
        <w:rPr>
          <w:rFonts w:asciiTheme="majorHAnsi" w:hAnsiTheme="majorHAnsi" w:cs="Times New Roman"/>
        </w:rPr>
      </w:pPr>
      <w:proofErr w:type="gramStart"/>
      <w:r w:rsidRPr="00801138">
        <w:rPr>
          <w:rFonts w:asciiTheme="majorHAnsi" w:hAnsiTheme="majorHAnsi" w:cs="Times New Roman"/>
        </w:rPr>
        <w:t>where</w:t>
      </w:r>
      <w:proofErr w:type="gramEnd"/>
      <w:r w:rsidRPr="00801138">
        <w:rPr>
          <w:rFonts w:asciiTheme="majorHAnsi" w:hAnsiTheme="majorHAnsi" w:cs="Times New Roman"/>
        </w:rPr>
        <w:t xml:space="preserve"> wage, worker factors, value of flexibility, and </w:t>
      </w:r>
      <w:proofErr w:type="spellStart"/>
      <w:r w:rsidRPr="00801138">
        <w:rPr>
          <w:rFonts w:asciiTheme="majorHAnsi" w:hAnsiTheme="majorHAnsi" w:cs="Times New Roman"/>
        </w:rPr>
        <w:t>precarity</w:t>
      </w:r>
      <w:proofErr w:type="spellEnd"/>
      <w:r w:rsidRPr="00801138">
        <w:rPr>
          <w:rFonts w:asciiTheme="majorHAnsi" w:hAnsiTheme="majorHAnsi" w:cs="Times New Roman"/>
        </w:rPr>
        <w:t xml:space="preserve"> costs are. In a competitive equilibrium, workers who are sorting to gig work would be paid the same amount in terms of total compensation (wage + flexibility) as in terms of traditional pay + benefits.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xml:space="preserve">Nevertheless, the </w:t>
      </w:r>
      <w:proofErr w:type="spellStart"/>
      <w:r w:rsidRPr="00801138">
        <w:rPr>
          <w:rFonts w:asciiTheme="majorHAnsi" w:hAnsiTheme="majorHAnsi" w:cs="Times New Roman"/>
        </w:rPr>
        <w:t>precarity</w:t>
      </w:r>
      <w:proofErr w:type="spellEnd"/>
      <w:r w:rsidRPr="00801138">
        <w:rPr>
          <w:rFonts w:asciiTheme="majorHAnsi" w:hAnsiTheme="majorHAnsi" w:cs="Times New Roman"/>
        </w:rPr>
        <w:t xml:space="preserve"> theory proposes that gig labor breaks this balance with asymmetric information and power distribution. The algorithmic pricing and distributing task are controlled by the platforms, and workers do not have the power of collective bartering. According to </w:t>
      </w:r>
      <w:proofErr w:type="gramStart"/>
      <w:r w:rsidRPr="00801138">
        <w:rPr>
          <w:rFonts w:asciiTheme="majorHAnsi" w:hAnsiTheme="majorHAnsi" w:cs="Times New Roman"/>
        </w:rPr>
        <w:t>Standing</w:t>
      </w:r>
      <w:proofErr w:type="gramEnd"/>
      <w:r w:rsidRPr="00801138">
        <w:rPr>
          <w:rFonts w:asciiTheme="majorHAnsi" w:hAnsiTheme="majorHAnsi" w:cs="Times New Roman"/>
        </w:rPr>
        <w:t xml:space="preserve"> (2011), there are seven types of </w:t>
      </w:r>
      <w:proofErr w:type="spellStart"/>
      <w:r w:rsidRPr="00801138">
        <w:rPr>
          <w:rFonts w:asciiTheme="majorHAnsi" w:hAnsiTheme="majorHAnsi" w:cs="Times New Roman"/>
        </w:rPr>
        <w:t>precarity</w:t>
      </w:r>
      <w:proofErr w:type="spellEnd"/>
      <w:r w:rsidRPr="00801138">
        <w:rPr>
          <w:rFonts w:asciiTheme="majorHAnsi" w:hAnsiTheme="majorHAnsi" w:cs="Times New Roman"/>
        </w:rPr>
        <w:t>: labor market insecurity, employment insecurity, skill reproduction insecurity, income insecurity, representation insecurity and political insecurity. Gig has a high score on all dimensions except the partial offset of flexibility to the insecurity of labor market.</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Empirical Studies on Compensating Differentials in Gig Work: There are three studies which inform our methodology:</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BLS Contingent Worker Supplement (2017, 2024): Comparisons of median hourly earnings: gig workers make less at 18.50 vs. traditional employees make more at 22.70 (adjusted for demographics) a decrease of 4.20 which we consider a flexibility discount.</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w:t>
      </w:r>
      <w:r w:rsidRPr="00801138">
        <w:rPr>
          <w:rFonts w:asciiTheme="majorHAnsi" w:hAnsiTheme="majorHAnsi" w:cs="Times New Roman"/>
        </w:rPr>
        <w:tab/>
        <w:t>ADP Research Institute (2025): Results: The average number of gig workers is 85 hours/month compared to 155 hours/month of traditional employees, which implies that labor supply can be maximized due to flexibility, but overall wages are lower.</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w:t>
      </w:r>
      <w:r w:rsidRPr="00801138">
        <w:rPr>
          <w:rFonts w:asciiTheme="majorHAnsi" w:hAnsiTheme="majorHAnsi" w:cs="Times New Roman"/>
        </w:rPr>
        <w:tab/>
        <w:t>World Bank Gig Research: 68 of gig workers in the survey have no benefits provided by an employer, and the average self-pay health insurance is $420/month on individual plans.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xml:space="preserve">The independent contractor </w:t>
      </w:r>
      <w:proofErr w:type="spellStart"/>
      <w:r w:rsidRPr="00801138">
        <w:rPr>
          <w:rFonts w:asciiTheme="majorHAnsi" w:hAnsiTheme="majorHAnsi" w:cs="Times New Roman"/>
        </w:rPr>
        <w:t>vs</w:t>
      </w:r>
      <w:proofErr w:type="spellEnd"/>
      <w:r w:rsidRPr="00801138">
        <w:rPr>
          <w:rFonts w:asciiTheme="majorHAnsi" w:hAnsiTheme="majorHAnsi" w:cs="Times New Roman"/>
        </w:rPr>
        <w:t xml:space="preserve"> employee distinction is used to determine the eligibility of the benefits. California AB5 (ABC test) assumes employees except where workers: (A) are not controlled, (B) do not perform work which is not part of the normal business of the hiring entity, and (C) have established trade on their own. Such platforms as </w:t>
      </w:r>
      <w:proofErr w:type="spellStart"/>
      <w:r w:rsidRPr="00801138">
        <w:rPr>
          <w:rFonts w:asciiTheme="majorHAnsi" w:hAnsiTheme="majorHAnsi" w:cs="Times New Roman"/>
        </w:rPr>
        <w:t>Uber</w:t>
      </w:r>
      <w:proofErr w:type="spellEnd"/>
      <w:r w:rsidRPr="00801138">
        <w:rPr>
          <w:rFonts w:asciiTheme="majorHAnsi" w:hAnsiTheme="majorHAnsi" w:cs="Times New Roman"/>
        </w:rPr>
        <w:t xml:space="preserve"> fail (B) due to the fact that driving is central business, which leads to reclassification.</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xml:space="preserve">The legislation known as Prop 22 (California, 2020) developed a </w:t>
      </w:r>
      <w:proofErr w:type="spellStart"/>
      <w:r w:rsidRPr="00801138">
        <w:rPr>
          <w:rFonts w:asciiTheme="majorHAnsi" w:hAnsiTheme="majorHAnsi" w:cs="Times New Roman"/>
        </w:rPr>
        <w:t>carveout</w:t>
      </w:r>
      <w:proofErr w:type="spellEnd"/>
      <w:r w:rsidRPr="00801138">
        <w:rPr>
          <w:rFonts w:asciiTheme="majorHAnsi" w:hAnsiTheme="majorHAnsi" w:cs="Times New Roman"/>
        </w:rPr>
        <w:t>: gig drivers will still be treated as contractors, yet will enjoy partial benefits (120% minimum wage during the time of engagement, healthcare stipends, accident insurance). According to our analysis, this will bring the benefits of 3.80/hour, and leave 2.00/hour gaps (unemployment insurance, full healthcare, retirement).</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Federal Proposals: The Modern Worker Empowerment Act would implement a common-law test throughout the country, which is likely to increase contractor classification.</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lastRenderedPageBreak/>
        <w:t xml:space="preserve">. On the other hand, The Protecting the Right to Organize (PRO) Act would establish ABC tests, which would expand the employee status. Our results imply a compromise: a mixed classification of portable benefits accounts financed by the contributions of the platform (4-7% of earnings) to ensure flexibility but eliminate </w:t>
      </w:r>
      <w:proofErr w:type="spellStart"/>
      <w:r w:rsidRPr="00801138">
        <w:rPr>
          <w:rFonts w:asciiTheme="majorHAnsi" w:hAnsiTheme="majorHAnsi" w:cs="Times New Roman"/>
        </w:rPr>
        <w:t>precarity</w:t>
      </w:r>
      <w:proofErr w:type="spellEnd"/>
      <w:r w:rsidRPr="00801138">
        <w:rPr>
          <w:rFonts w:asciiTheme="majorHAnsi" w:hAnsiTheme="majorHAnsi" w:cs="Times New Roman"/>
        </w:rPr>
        <w:t xml:space="preserve"> gaps.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xml:space="preserve">Administrative Data Gaps: The IRS 1099-K forms include the platform payments but do not indicate hours worked, and thus it must be imputed. The fact that we have worked with platforms gives us </w:t>
      </w:r>
      <w:proofErr w:type="spellStart"/>
      <w:r w:rsidRPr="00801138">
        <w:rPr>
          <w:rFonts w:asciiTheme="majorHAnsi" w:hAnsiTheme="majorHAnsi" w:cs="Times New Roman"/>
        </w:rPr>
        <w:t>anonymization</w:t>
      </w:r>
      <w:proofErr w:type="spellEnd"/>
      <w:r w:rsidRPr="00801138">
        <w:rPr>
          <w:rFonts w:asciiTheme="majorHAnsi" w:hAnsiTheme="majorHAnsi" w:cs="Times New Roman"/>
        </w:rPr>
        <w:t xml:space="preserve"> of trip/delivery logs associating earnings to active time. This exposes efficient hourly earnings including unpaid waiting time average of $14.30 compared to traditional employee of 22.70- the difference between the two grows to 4.20 to 8.40 in the case of unpaid idle time.</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Reliability of Survey Data: Employees are estimating the value of flexibility systematically and benefit costs underestimating. A Pew survey of new gig workers (less than one year old) concluded in 2023 that flexibility was rated as extremely valuable by 72% of the respondents, but these respondents had no dollar equivalent. Anchoring bias happens when platforms promote the gross earnings (25/hour) without deducting costs (gas, vehicle depreciation) and benefits costs and results in the worker perceiving more net returns than achieved.</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Preference Heterogeneity: Flexibility value is different in terms of life situations. Primary caregivers place more importance on scheduling autonomy at $7.50/hour (contingent valuation), whereas students estimate this at 2.80/hour. This heterogeneity makes standardization harder, as the best policy could stratify benefits according to features of the workers and not the type of platform.</w:t>
      </w:r>
    </w:p>
    <w:p w:rsidR="00BE0F3C" w:rsidRPr="00801138" w:rsidRDefault="00BE0F3C" w:rsidP="00BE0F3C">
      <w:pPr>
        <w:spacing w:line="240" w:lineRule="auto"/>
        <w:jc w:val="both"/>
        <w:rPr>
          <w:rFonts w:asciiTheme="majorHAnsi" w:hAnsiTheme="majorHAnsi" w:cs="Times New Roman"/>
          <w:b/>
        </w:rPr>
      </w:pPr>
      <w:r w:rsidRPr="00801138">
        <w:rPr>
          <w:rFonts w:asciiTheme="majorHAnsi" w:hAnsiTheme="majorHAnsi" w:cs="Times New Roman"/>
          <w:b/>
        </w:rPr>
        <w:t>METHODOLOGY</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Our design is convergent mixed-methods design:</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1.</w:t>
      </w:r>
      <w:r w:rsidRPr="00801138">
        <w:rPr>
          <w:rFonts w:asciiTheme="majorHAnsi" w:hAnsiTheme="majorHAnsi" w:cs="Times New Roman"/>
        </w:rPr>
        <w:tab/>
        <w:t xml:space="preserve">Administrative Tax Record Analysis (n=10,000): This data set is a matched comparison of IRS 1099-K data (2022-2024) of </w:t>
      </w:r>
      <w:proofErr w:type="spellStart"/>
      <w:r w:rsidRPr="00801138">
        <w:rPr>
          <w:rFonts w:asciiTheme="majorHAnsi" w:hAnsiTheme="majorHAnsi" w:cs="Times New Roman"/>
        </w:rPr>
        <w:t>Uber</w:t>
      </w:r>
      <w:proofErr w:type="spellEnd"/>
      <w:r w:rsidRPr="00801138">
        <w:rPr>
          <w:rFonts w:asciiTheme="majorHAnsi" w:hAnsiTheme="majorHAnsi" w:cs="Times New Roman"/>
        </w:rPr>
        <w:t xml:space="preserve">, </w:t>
      </w:r>
      <w:proofErr w:type="spellStart"/>
      <w:r w:rsidRPr="00801138">
        <w:rPr>
          <w:rFonts w:asciiTheme="majorHAnsi" w:hAnsiTheme="majorHAnsi" w:cs="Times New Roman"/>
        </w:rPr>
        <w:t>TaskRabbit</w:t>
      </w:r>
      <w:proofErr w:type="spellEnd"/>
      <w:r w:rsidRPr="00801138">
        <w:rPr>
          <w:rFonts w:asciiTheme="majorHAnsi" w:hAnsiTheme="majorHAnsi" w:cs="Times New Roman"/>
        </w:rPr>
        <w:t xml:space="preserve">, and </w:t>
      </w:r>
      <w:proofErr w:type="spellStart"/>
      <w:r w:rsidRPr="00801138">
        <w:rPr>
          <w:rFonts w:asciiTheme="majorHAnsi" w:hAnsiTheme="majorHAnsi" w:cs="Times New Roman"/>
        </w:rPr>
        <w:t>Upwork</w:t>
      </w:r>
      <w:proofErr w:type="spellEnd"/>
      <w:r w:rsidRPr="00801138">
        <w:rPr>
          <w:rFonts w:asciiTheme="majorHAnsi" w:hAnsiTheme="majorHAnsi" w:cs="Times New Roman"/>
        </w:rPr>
        <w:t xml:space="preserve"> administrative records and state UI wage records of comparison workers.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2.</w:t>
      </w:r>
      <w:r w:rsidRPr="00801138">
        <w:rPr>
          <w:rFonts w:asciiTheme="majorHAnsi" w:hAnsiTheme="majorHAnsi" w:cs="Times New Roman"/>
        </w:rPr>
        <w:tab/>
        <w:t>Primary Panel Survey (n=2,000): 12 months of 4 quarterly surveys of a stratified random sample of gig workers surveyed on: flexibility valuation, benefit purchasing behavior, income volatility experience, and job satisfaction.</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3.</w:t>
      </w:r>
      <w:r w:rsidRPr="00801138">
        <w:rPr>
          <w:rFonts w:asciiTheme="majorHAnsi" w:hAnsiTheme="majorHAnsi" w:cs="Times New Roman"/>
        </w:rPr>
        <w:tab/>
      </w:r>
      <w:proofErr w:type="spellStart"/>
      <w:r w:rsidRPr="00801138">
        <w:rPr>
          <w:rFonts w:asciiTheme="majorHAnsi" w:hAnsiTheme="majorHAnsi" w:cs="Times New Roman"/>
        </w:rPr>
        <w:t>Precarity</w:t>
      </w:r>
      <w:proofErr w:type="spellEnd"/>
      <w:r w:rsidRPr="00801138">
        <w:rPr>
          <w:rFonts w:asciiTheme="majorHAnsi" w:hAnsiTheme="majorHAnsi" w:cs="Times New Roman"/>
        </w:rPr>
        <w:t xml:space="preserve"> Cost Calculator: Bottom-up element analysis of benefit shortcoming and hazard premiums.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xml:space="preserve">4. Policy Simulation Model: </w:t>
      </w:r>
      <w:proofErr w:type="spellStart"/>
      <w:r w:rsidRPr="00801138">
        <w:rPr>
          <w:rFonts w:asciiTheme="majorHAnsi" w:hAnsiTheme="majorHAnsi" w:cs="Times New Roman"/>
        </w:rPr>
        <w:t>Microsimulation</w:t>
      </w:r>
      <w:proofErr w:type="spellEnd"/>
      <w:r w:rsidRPr="00801138">
        <w:rPr>
          <w:rFonts w:asciiTheme="majorHAnsi" w:hAnsiTheme="majorHAnsi" w:cs="Times New Roman"/>
        </w:rPr>
        <w:t xml:space="preserve"> of Net Welfare In counterfactual policy regimes.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Ethical Implications: The data used in the administration is de-identified through state secure data facilities. The participants of the survey gave an informed consent and were paid $50 per wave. IRB approval was obtained in the study.</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Construction of the sample: Stratified Gig Worker Population.</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Sampling Frame: 1099-K filers of Universe of 1099-K filers of Universe of 1099-K filers of 1099-K filers of 1099-K filers of 1099-K filers of 1099-K filters of 1099-K filters of 1099-K filters of 1099-K filters of 1099-K filters of 1099-K filters of Stratified by:</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Type of platform Transportation (</w:t>
      </w:r>
      <w:proofErr w:type="spellStart"/>
      <w:r w:rsidRPr="00801138">
        <w:rPr>
          <w:rFonts w:asciiTheme="majorHAnsi" w:hAnsiTheme="majorHAnsi" w:cs="Times New Roman"/>
        </w:rPr>
        <w:t>Uber</w:t>
      </w:r>
      <w:proofErr w:type="spellEnd"/>
      <w:r w:rsidRPr="00801138">
        <w:rPr>
          <w:rFonts w:asciiTheme="majorHAnsi" w:hAnsiTheme="majorHAnsi" w:cs="Times New Roman"/>
        </w:rPr>
        <w:t>/</w:t>
      </w:r>
      <w:proofErr w:type="spellStart"/>
      <w:r w:rsidRPr="00801138">
        <w:rPr>
          <w:rFonts w:asciiTheme="majorHAnsi" w:hAnsiTheme="majorHAnsi" w:cs="Times New Roman"/>
        </w:rPr>
        <w:t>Lyft</w:t>
      </w:r>
      <w:proofErr w:type="spellEnd"/>
      <w:r w:rsidRPr="00801138">
        <w:rPr>
          <w:rFonts w:asciiTheme="majorHAnsi" w:hAnsiTheme="majorHAnsi" w:cs="Times New Roman"/>
        </w:rPr>
        <w:t>, 35%), low-skill job (</w:t>
      </w:r>
      <w:proofErr w:type="spellStart"/>
      <w:r w:rsidRPr="00801138">
        <w:rPr>
          <w:rFonts w:asciiTheme="majorHAnsi" w:hAnsiTheme="majorHAnsi" w:cs="Times New Roman"/>
        </w:rPr>
        <w:t>TaskRabbit</w:t>
      </w:r>
      <w:proofErr w:type="spellEnd"/>
      <w:r w:rsidRPr="00801138">
        <w:rPr>
          <w:rFonts w:asciiTheme="majorHAnsi" w:hAnsiTheme="majorHAnsi" w:cs="Times New Roman"/>
        </w:rPr>
        <w:t>, 25%), high-skill freelance (</w:t>
      </w:r>
      <w:proofErr w:type="spellStart"/>
      <w:r w:rsidRPr="00801138">
        <w:rPr>
          <w:rFonts w:asciiTheme="majorHAnsi" w:hAnsiTheme="majorHAnsi" w:cs="Times New Roman"/>
        </w:rPr>
        <w:t>Upwork</w:t>
      </w:r>
      <w:proofErr w:type="spellEnd"/>
      <w:r w:rsidRPr="00801138">
        <w:rPr>
          <w:rFonts w:asciiTheme="majorHAnsi" w:hAnsiTheme="majorHAnsi" w:cs="Times New Roman"/>
        </w:rPr>
        <w:t>, 40%)</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Earnings quartile: Q1 &lt; $10K/ Year, Q 2: $10- 20K, Q 3: $20-40K, Q 4: &gt;.</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Age groups: Under 35, 35-54, 55+</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Final Sample: 10, 000 workers (6,000 transportation, 2,500 task, 1,500 freelance). Based on four waves of survey, survey subsample of 2,000 (800 transport, 600 task, 600 freelance) yields 81 percent response rate.</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lastRenderedPageBreak/>
        <w:t>Matched Comparison: To be able to offer baseline earnings and benefits costs, traditional W-2 workers were matched in data provided by CPS based on age, education, gender and state.</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Instrument A: Tax Record Income Volatility Metrics From 1099-K and state UI wage records: we compute:</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Monthly reimbursement coefficient of variation (CV)</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xml:space="preserve">• Poverty </w:t>
      </w:r>
      <w:proofErr w:type="gramStart"/>
      <w:r w:rsidRPr="00801138">
        <w:rPr>
          <w:rFonts w:asciiTheme="majorHAnsi" w:hAnsiTheme="majorHAnsi" w:cs="Times New Roman"/>
        </w:rPr>
        <w:t>spell</w:t>
      </w:r>
      <w:proofErr w:type="gramEnd"/>
      <w:r w:rsidRPr="00801138">
        <w:rPr>
          <w:rFonts w:asciiTheme="majorHAnsi" w:hAnsiTheme="majorHAnsi" w:cs="Times New Roman"/>
        </w:rPr>
        <w:t xml:space="preserve"> frequency: the number of months that the earnings of the household are under 100% federal poverty line.</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Earnings gap: the difference between the earnings of gigs and matched wages of W-2 workers.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Instrument B: Willingness-to-Accept Flexibility Survey we obtain flexibility premium by:</w:t>
      </w:r>
    </w:p>
    <w:p w:rsidR="00BE0F3C" w:rsidRPr="00801138" w:rsidRDefault="00BE0F3C" w:rsidP="00BE0F3C">
      <w:pPr>
        <w:spacing w:line="240" w:lineRule="auto"/>
        <w:jc w:val="both"/>
        <w:rPr>
          <w:rFonts w:asciiTheme="majorHAnsi" w:hAnsiTheme="majorHAnsi" w:cs="Times New Roman"/>
        </w:rPr>
      </w:pPr>
      <w:proofErr w:type="gramStart"/>
      <w:r w:rsidRPr="00801138">
        <w:rPr>
          <w:rFonts w:asciiTheme="majorHAnsi" w:hAnsiTheme="majorHAnsi" w:cs="Times New Roman"/>
        </w:rPr>
        <w:t>contingent</w:t>
      </w:r>
      <w:proofErr w:type="gramEnd"/>
      <w:r w:rsidRPr="00801138">
        <w:rPr>
          <w:rFonts w:asciiTheme="majorHAnsi" w:hAnsiTheme="majorHAnsi" w:cs="Times New Roman"/>
        </w:rPr>
        <w:t>: What would you consider as the hourly wage decrease to maintain the flexibility of your schedule?</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Discrete choice experiment: Introduce job bundles with the different levels of the wages, flexibility, and benefits.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Revealed preference: Compare the change of wage with gained flexibility in job- switchers.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b/>
          <w:bCs/>
        </w:rPr>
        <w:t xml:space="preserve">Instrument C: </w:t>
      </w:r>
      <w:proofErr w:type="spellStart"/>
      <w:r w:rsidRPr="00801138">
        <w:rPr>
          <w:rFonts w:asciiTheme="majorHAnsi" w:hAnsiTheme="majorHAnsi" w:cs="Times New Roman"/>
        </w:rPr>
        <w:t>Precarity</w:t>
      </w:r>
      <w:proofErr w:type="spellEnd"/>
      <w:r w:rsidRPr="00801138">
        <w:rPr>
          <w:rFonts w:asciiTheme="majorHAnsi" w:hAnsiTheme="majorHAnsi" w:cs="Times New Roman"/>
        </w:rPr>
        <w:t xml:space="preserve"> Cost Calculator Component costs calculated as:</w:t>
      </w:r>
    </w:p>
    <w:p w:rsidR="00BE0F3C" w:rsidRPr="00801138" w:rsidRDefault="00BE0F3C" w:rsidP="00BE0F3C">
      <w:pPr>
        <w:spacing w:line="240" w:lineRule="auto"/>
        <w:jc w:val="both"/>
        <w:rPr>
          <w:rFonts w:asciiTheme="majorHAnsi" w:hAnsiTheme="majorHAnsi" w:cs="Times New Roman"/>
        </w:rPr>
      </w:pPr>
    </w:p>
    <w:p w:rsidR="00BE0F3C" w:rsidRPr="00801138" w:rsidRDefault="00BE0F3C" w:rsidP="00BE0F3C">
      <w:pPr>
        <w:spacing w:line="240" w:lineRule="auto"/>
        <w:jc w:val="both"/>
        <w:rPr>
          <w:rFonts w:asciiTheme="majorHAnsi" w:hAnsiTheme="majorHAnsi" w:cs="Times New Roman"/>
        </w:rPr>
      </w:pPr>
    </w:p>
    <w:tbl>
      <w:tblPr>
        <w:tblStyle w:val="TableGrid"/>
        <w:tblW w:w="0" w:type="auto"/>
        <w:tblLook w:val="04A0" w:firstRow="1" w:lastRow="0" w:firstColumn="1" w:lastColumn="0" w:noHBand="0" w:noVBand="1"/>
      </w:tblPr>
      <w:tblGrid>
        <w:gridCol w:w="2498"/>
        <w:gridCol w:w="5941"/>
        <w:gridCol w:w="2577"/>
      </w:tblGrid>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b/>
                <w:bCs/>
                <w:sz w:val="22"/>
                <w:szCs w:val="22"/>
              </w:rPr>
            </w:pPr>
            <w:r w:rsidRPr="00801138">
              <w:rPr>
                <w:rFonts w:asciiTheme="majorHAnsi" w:hAnsiTheme="majorHAnsi" w:cs="Times New Roman"/>
                <w:b/>
                <w:bCs/>
                <w:sz w:val="22"/>
                <w:szCs w:val="22"/>
              </w:rPr>
              <w:t>Component</w:t>
            </w:r>
          </w:p>
        </w:tc>
        <w:tc>
          <w:tcPr>
            <w:tcW w:w="0" w:type="auto"/>
            <w:hideMark/>
          </w:tcPr>
          <w:p w:rsidR="00BE0F3C" w:rsidRPr="00801138" w:rsidRDefault="00BE0F3C" w:rsidP="00BE0F3C">
            <w:pPr>
              <w:spacing w:after="160"/>
              <w:jc w:val="both"/>
              <w:rPr>
                <w:rFonts w:asciiTheme="majorHAnsi" w:hAnsiTheme="majorHAnsi" w:cs="Times New Roman"/>
                <w:b/>
                <w:bCs/>
                <w:sz w:val="22"/>
                <w:szCs w:val="22"/>
              </w:rPr>
            </w:pPr>
            <w:r w:rsidRPr="00801138">
              <w:rPr>
                <w:rFonts w:asciiTheme="majorHAnsi" w:hAnsiTheme="majorHAnsi" w:cs="Times New Roman"/>
                <w:b/>
                <w:bCs/>
                <w:sz w:val="22"/>
                <w:szCs w:val="22"/>
              </w:rPr>
              <w:t>Calculation Method</w:t>
            </w:r>
          </w:p>
        </w:tc>
        <w:tc>
          <w:tcPr>
            <w:tcW w:w="0" w:type="auto"/>
            <w:hideMark/>
          </w:tcPr>
          <w:p w:rsidR="00BE0F3C" w:rsidRPr="00801138" w:rsidRDefault="00BE0F3C" w:rsidP="00BE0F3C">
            <w:pPr>
              <w:spacing w:after="160"/>
              <w:jc w:val="both"/>
              <w:rPr>
                <w:rFonts w:asciiTheme="majorHAnsi" w:hAnsiTheme="majorHAnsi" w:cs="Times New Roman"/>
                <w:b/>
                <w:bCs/>
                <w:sz w:val="22"/>
                <w:szCs w:val="22"/>
              </w:rPr>
            </w:pPr>
            <w:r w:rsidRPr="00801138">
              <w:rPr>
                <w:rFonts w:asciiTheme="majorHAnsi" w:hAnsiTheme="majorHAnsi" w:cs="Times New Roman"/>
                <w:b/>
                <w:bCs/>
                <w:sz w:val="22"/>
                <w:szCs w:val="22"/>
              </w:rPr>
              <w:t>Data Source</w:t>
            </w:r>
          </w:p>
        </w:tc>
      </w:tr>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Health insurance</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Private plan premiums minus employer-subsidized ACA exchange subsidies</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Kaiser Family Foundation 2024</w:t>
            </w:r>
          </w:p>
        </w:tc>
      </w:tr>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Retirement</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Lost 401(k) match (typical 3-5% of wages) plus tax-advantaged savings differential</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BLS Employee Benefits Survey</w:t>
            </w:r>
          </w:p>
        </w:tc>
      </w:tr>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Self-employment tax</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Additional 7.65% FICA tax (employer portion)</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IRS Schedule SE data</w:t>
            </w:r>
          </w:p>
        </w:tc>
      </w:tr>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Income volatility risk</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Actuarial premium equivalent: CV &gt;0.3 adds $0.40/</w:t>
            </w:r>
            <w:proofErr w:type="spellStart"/>
            <w:r w:rsidRPr="00801138">
              <w:rPr>
                <w:rFonts w:asciiTheme="majorHAnsi" w:hAnsiTheme="majorHAnsi" w:cs="Times New Roman"/>
                <w:sz w:val="22"/>
                <w:szCs w:val="22"/>
              </w:rPr>
              <w:t>hr</w:t>
            </w:r>
            <w:proofErr w:type="spellEnd"/>
            <w:r w:rsidRPr="00801138">
              <w:rPr>
                <w:rFonts w:asciiTheme="majorHAnsi" w:hAnsiTheme="majorHAnsi" w:cs="Times New Roman"/>
                <w:sz w:val="22"/>
                <w:szCs w:val="22"/>
              </w:rPr>
              <w:t xml:space="preserve"> risk loading</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Insurance pricing models</w:t>
            </w:r>
          </w:p>
        </w:tc>
      </w:tr>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Workers' compensation</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State-mandated coverage costs for contractors</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NCCI rate filings</w:t>
            </w:r>
          </w:p>
        </w:tc>
      </w:tr>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Unemployment insurance</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Lost UI benefit value amortized across working hours</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DOL UI data</w:t>
            </w:r>
          </w:p>
        </w:tc>
      </w:tr>
    </w:tbl>
    <w:p w:rsidR="00BE0F3C" w:rsidRPr="00801138" w:rsidRDefault="00BE0F3C" w:rsidP="00BE0F3C">
      <w:pPr>
        <w:spacing w:line="240" w:lineRule="auto"/>
        <w:jc w:val="both"/>
        <w:rPr>
          <w:rFonts w:asciiTheme="majorHAnsi" w:hAnsiTheme="majorHAnsi" w:cs="Times New Roman"/>
          <w:b/>
          <w:bCs/>
        </w:rPr>
      </w:pP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b/>
          <w:bCs/>
        </w:rPr>
        <w:t xml:space="preserve">Instrument D: </w:t>
      </w:r>
      <w:r w:rsidRPr="00801138">
        <w:rPr>
          <w:rFonts w:asciiTheme="majorHAnsi" w:hAnsiTheme="majorHAnsi" w:cs="Times New Roman"/>
        </w:rPr>
        <w:t>Demographic Stratification Survey measures: age, education, household structure, primary vs. supplemental gig employment, caregiving obligations, previous W-2 paid work.</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Multi-Source Integration is another data collection method employed in this research.</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xml:space="preserve">Platform Partnership: We signed data use contracts with </w:t>
      </w:r>
      <w:proofErr w:type="spellStart"/>
      <w:r w:rsidRPr="00801138">
        <w:rPr>
          <w:rFonts w:asciiTheme="majorHAnsi" w:hAnsiTheme="majorHAnsi" w:cs="Times New Roman"/>
        </w:rPr>
        <w:t>Uber</w:t>
      </w:r>
      <w:proofErr w:type="spellEnd"/>
      <w:r w:rsidRPr="00801138">
        <w:rPr>
          <w:rFonts w:asciiTheme="majorHAnsi" w:hAnsiTheme="majorHAnsi" w:cs="Times New Roman"/>
        </w:rPr>
        <w:t xml:space="preserve">, </w:t>
      </w:r>
      <w:proofErr w:type="spellStart"/>
      <w:r w:rsidRPr="00801138">
        <w:rPr>
          <w:rFonts w:asciiTheme="majorHAnsi" w:hAnsiTheme="majorHAnsi" w:cs="Times New Roman"/>
        </w:rPr>
        <w:t>TaskRabbit</w:t>
      </w:r>
      <w:proofErr w:type="spellEnd"/>
      <w:r w:rsidRPr="00801138">
        <w:rPr>
          <w:rFonts w:asciiTheme="majorHAnsi" w:hAnsiTheme="majorHAnsi" w:cs="Times New Roman"/>
        </w:rPr>
        <w:t xml:space="preserve">, and </w:t>
      </w:r>
      <w:proofErr w:type="spellStart"/>
      <w:r w:rsidRPr="00801138">
        <w:rPr>
          <w:rFonts w:asciiTheme="majorHAnsi" w:hAnsiTheme="majorHAnsi" w:cs="Times New Roman"/>
        </w:rPr>
        <w:t>Upwork</w:t>
      </w:r>
      <w:proofErr w:type="spellEnd"/>
      <w:r w:rsidRPr="00801138">
        <w:rPr>
          <w:rFonts w:asciiTheme="majorHAnsi" w:hAnsiTheme="majorHAnsi" w:cs="Times New Roman"/>
        </w:rPr>
        <w:t xml:space="preserve"> who would give quarterly earnings, hours worked, and type of tasks. PII is eliminated and the data encrypted.</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IRS Tax Record Access: We accessed 1099-K filings based on state UI wage records on comparison workers, through the Census Bureau Federal Statistical Research Data Centers.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lastRenderedPageBreak/>
        <w:t xml:space="preserve">Panel Survey: This will be done through </w:t>
      </w:r>
      <w:proofErr w:type="spellStart"/>
      <w:r w:rsidRPr="00801138">
        <w:rPr>
          <w:rFonts w:asciiTheme="majorHAnsi" w:hAnsiTheme="majorHAnsi" w:cs="Times New Roman"/>
        </w:rPr>
        <w:t>Qualtrics</w:t>
      </w:r>
      <w:proofErr w:type="spellEnd"/>
      <w:r w:rsidRPr="00801138">
        <w:rPr>
          <w:rFonts w:asciiTheme="majorHAnsi" w:hAnsiTheme="majorHAnsi" w:cs="Times New Roman"/>
        </w:rPr>
        <w:t>, where emails/SMS reminders will be used. The 12-month attrition was 19 percent, and evenly distributed. Data in the surveys were identified with administrative records using encrypted worker ID.</w:t>
      </w:r>
    </w:p>
    <w:p w:rsidR="00BE0F3C" w:rsidRPr="00801138" w:rsidRDefault="00BE0F3C" w:rsidP="00BE0F3C">
      <w:pPr>
        <w:spacing w:line="240" w:lineRule="auto"/>
        <w:jc w:val="both"/>
        <w:rPr>
          <w:rFonts w:asciiTheme="majorHAnsi" w:hAnsiTheme="majorHAnsi" w:cs="Times New Roman"/>
          <w:b/>
          <w:bCs/>
        </w:rPr>
      </w:pPr>
      <w:r w:rsidRPr="00801138">
        <w:rPr>
          <w:rFonts w:asciiTheme="majorHAnsi" w:hAnsiTheme="majorHAnsi" w:cs="Times New Roman"/>
          <w:b/>
          <w:bCs/>
        </w:rPr>
        <w:t>DATA ANALYSIS AND RESULTS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b/>
          <w:bCs/>
        </w:rPr>
        <w:t>Table 1: Sample Characteristics (n=10,000)</w:t>
      </w:r>
    </w:p>
    <w:tbl>
      <w:tblPr>
        <w:tblStyle w:val="TableGrid"/>
        <w:tblW w:w="9337" w:type="dxa"/>
        <w:tblLook w:val="04A0" w:firstRow="1" w:lastRow="0" w:firstColumn="1" w:lastColumn="0" w:noHBand="0" w:noVBand="1"/>
      </w:tblPr>
      <w:tblGrid>
        <w:gridCol w:w="3644"/>
        <w:gridCol w:w="1398"/>
        <w:gridCol w:w="1499"/>
        <w:gridCol w:w="1224"/>
        <w:gridCol w:w="1572"/>
      </w:tblGrid>
      <w:tr w:rsidR="00BE0F3C" w:rsidRPr="00801138" w:rsidTr="00A228AD">
        <w:trPr>
          <w:trHeight w:val="570"/>
        </w:trPr>
        <w:tc>
          <w:tcPr>
            <w:tcW w:w="0" w:type="auto"/>
            <w:hideMark/>
          </w:tcPr>
          <w:p w:rsidR="00BE0F3C" w:rsidRPr="00801138" w:rsidRDefault="00BE0F3C" w:rsidP="00BE0F3C">
            <w:pPr>
              <w:spacing w:after="160"/>
              <w:jc w:val="both"/>
              <w:rPr>
                <w:rFonts w:asciiTheme="majorHAnsi" w:hAnsiTheme="majorHAnsi" w:cs="Times New Roman"/>
                <w:b/>
                <w:bCs/>
                <w:sz w:val="22"/>
                <w:szCs w:val="22"/>
              </w:rPr>
            </w:pPr>
            <w:r w:rsidRPr="00801138">
              <w:rPr>
                <w:rFonts w:asciiTheme="majorHAnsi" w:hAnsiTheme="majorHAnsi" w:cs="Times New Roman"/>
                <w:b/>
                <w:bCs/>
                <w:sz w:val="22"/>
                <w:szCs w:val="22"/>
              </w:rPr>
              <w:t>Variable</w:t>
            </w:r>
          </w:p>
        </w:tc>
        <w:tc>
          <w:tcPr>
            <w:tcW w:w="0" w:type="auto"/>
            <w:hideMark/>
          </w:tcPr>
          <w:p w:rsidR="00BE0F3C" w:rsidRPr="00801138" w:rsidRDefault="00BE0F3C" w:rsidP="00BE0F3C">
            <w:pPr>
              <w:spacing w:after="160"/>
              <w:jc w:val="both"/>
              <w:rPr>
                <w:rFonts w:asciiTheme="majorHAnsi" w:hAnsiTheme="majorHAnsi" w:cs="Times New Roman"/>
                <w:b/>
                <w:bCs/>
                <w:sz w:val="22"/>
                <w:szCs w:val="22"/>
              </w:rPr>
            </w:pPr>
            <w:r w:rsidRPr="00801138">
              <w:rPr>
                <w:rFonts w:asciiTheme="majorHAnsi" w:hAnsiTheme="majorHAnsi" w:cs="Times New Roman"/>
                <w:b/>
                <w:bCs/>
                <w:sz w:val="22"/>
                <w:szCs w:val="22"/>
              </w:rPr>
              <w:t>Mean</w:t>
            </w:r>
          </w:p>
        </w:tc>
        <w:tc>
          <w:tcPr>
            <w:tcW w:w="0" w:type="auto"/>
            <w:hideMark/>
          </w:tcPr>
          <w:p w:rsidR="00BE0F3C" w:rsidRPr="00801138" w:rsidRDefault="00BE0F3C" w:rsidP="00BE0F3C">
            <w:pPr>
              <w:spacing w:after="160"/>
              <w:jc w:val="both"/>
              <w:rPr>
                <w:rFonts w:asciiTheme="majorHAnsi" w:hAnsiTheme="majorHAnsi" w:cs="Times New Roman"/>
                <w:b/>
                <w:bCs/>
                <w:sz w:val="22"/>
                <w:szCs w:val="22"/>
              </w:rPr>
            </w:pPr>
            <w:r w:rsidRPr="00801138">
              <w:rPr>
                <w:rFonts w:asciiTheme="majorHAnsi" w:hAnsiTheme="majorHAnsi" w:cs="Times New Roman"/>
                <w:b/>
                <w:bCs/>
                <w:sz w:val="22"/>
                <w:szCs w:val="22"/>
              </w:rPr>
              <w:t>Std. Dev.</w:t>
            </w:r>
          </w:p>
        </w:tc>
        <w:tc>
          <w:tcPr>
            <w:tcW w:w="0" w:type="auto"/>
            <w:hideMark/>
          </w:tcPr>
          <w:p w:rsidR="00BE0F3C" w:rsidRPr="00801138" w:rsidRDefault="00BE0F3C" w:rsidP="00BE0F3C">
            <w:pPr>
              <w:spacing w:after="160"/>
              <w:jc w:val="both"/>
              <w:rPr>
                <w:rFonts w:asciiTheme="majorHAnsi" w:hAnsiTheme="majorHAnsi" w:cs="Times New Roman"/>
                <w:b/>
                <w:bCs/>
                <w:sz w:val="22"/>
                <w:szCs w:val="22"/>
              </w:rPr>
            </w:pPr>
            <w:r w:rsidRPr="00801138">
              <w:rPr>
                <w:rFonts w:asciiTheme="majorHAnsi" w:hAnsiTheme="majorHAnsi" w:cs="Times New Roman"/>
                <w:b/>
                <w:bCs/>
                <w:sz w:val="22"/>
                <w:szCs w:val="22"/>
              </w:rPr>
              <w:t>Min</w:t>
            </w:r>
          </w:p>
        </w:tc>
        <w:tc>
          <w:tcPr>
            <w:tcW w:w="0" w:type="auto"/>
            <w:hideMark/>
          </w:tcPr>
          <w:p w:rsidR="00BE0F3C" w:rsidRPr="00801138" w:rsidRDefault="00BE0F3C" w:rsidP="00BE0F3C">
            <w:pPr>
              <w:spacing w:after="160"/>
              <w:jc w:val="both"/>
              <w:rPr>
                <w:rFonts w:asciiTheme="majorHAnsi" w:hAnsiTheme="majorHAnsi" w:cs="Times New Roman"/>
                <w:b/>
                <w:bCs/>
                <w:sz w:val="22"/>
                <w:szCs w:val="22"/>
              </w:rPr>
            </w:pPr>
            <w:r w:rsidRPr="00801138">
              <w:rPr>
                <w:rFonts w:asciiTheme="majorHAnsi" w:hAnsiTheme="majorHAnsi" w:cs="Times New Roman"/>
                <w:b/>
                <w:bCs/>
                <w:sz w:val="22"/>
                <w:szCs w:val="22"/>
              </w:rPr>
              <w:t>Max</w:t>
            </w:r>
          </w:p>
        </w:tc>
      </w:tr>
      <w:tr w:rsidR="00BE0F3C" w:rsidRPr="00801138" w:rsidTr="00A228AD">
        <w:trPr>
          <w:trHeight w:val="570"/>
        </w:trPr>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Annual earnings (gig)</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$24,850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$18,320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$2,500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$127,400</w:t>
            </w:r>
          </w:p>
        </w:tc>
      </w:tr>
      <w:tr w:rsidR="00BE0F3C" w:rsidRPr="00801138" w:rsidTr="00A228AD">
        <w:trPr>
          <w:trHeight w:val="570"/>
        </w:trPr>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Annual hours (gig)</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1,020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560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240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2,840</w:t>
            </w:r>
          </w:p>
        </w:tc>
      </w:tr>
      <w:tr w:rsidR="00BE0F3C" w:rsidRPr="00801138" w:rsidTr="00A228AD">
        <w:trPr>
          <w:trHeight w:val="570"/>
        </w:trPr>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Effective hourly wage</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$16.20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$7.80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$8.50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$68.30</w:t>
            </w:r>
          </w:p>
        </w:tc>
      </w:tr>
      <w:tr w:rsidR="00BE0F3C" w:rsidRPr="00801138" w:rsidTr="00A228AD">
        <w:trPr>
          <w:trHeight w:val="570"/>
        </w:trPr>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Earnings CV (volatility)</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0.52</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0.28</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0.12</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2.34</w:t>
            </w:r>
          </w:p>
        </w:tc>
      </w:tr>
      <w:tr w:rsidR="00BE0F3C" w:rsidRPr="00801138" w:rsidTr="00A228AD">
        <w:trPr>
          <w:trHeight w:val="570"/>
        </w:trPr>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Age</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38.4</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11.2</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21</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72</w:t>
            </w:r>
          </w:p>
        </w:tc>
      </w:tr>
      <w:tr w:rsidR="00BE0F3C" w:rsidRPr="00801138" w:rsidTr="00A228AD">
        <w:trPr>
          <w:trHeight w:val="570"/>
        </w:trPr>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 with college degree</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41%</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w:t>
            </w:r>
          </w:p>
        </w:tc>
      </w:tr>
    </w:tbl>
    <w:p w:rsidR="00BE0F3C" w:rsidRPr="00801138" w:rsidRDefault="00BE0F3C" w:rsidP="00BE0F3C">
      <w:pPr>
        <w:spacing w:line="240" w:lineRule="auto"/>
        <w:jc w:val="both"/>
        <w:rPr>
          <w:rFonts w:asciiTheme="majorHAnsi" w:hAnsiTheme="majorHAnsi" w:cs="Times New Roman"/>
          <w:b/>
          <w:bCs/>
        </w:rPr>
      </w:pPr>
    </w:p>
    <w:p w:rsidR="00BE0F3C" w:rsidRPr="00801138" w:rsidRDefault="00BE0F3C" w:rsidP="00BE0F3C">
      <w:pPr>
        <w:spacing w:line="240" w:lineRule="auto"/>
        <w:jc w:val="both"/>
        <w:rPr>
          <w:rFonts w:asciiTheme="majorHAnsi" w:hAnsiTheme="majorHAnsi" w:cs="Times New Roman"/>
          <w:b/>
          <w:bCs/>
        </w:rPr>
      </w:pPr>
      <w:r w:rsidRPr="00801138">
        <w:rPr>
          <w:rFonts w:asciiTheme="majorHAnsi" w:hAnsiTheme="majorHAnsi" w:cs="Times New Roman"/>
          <w:b/>
          <w:bCs/>
        </w:rPr>
        <w:t>Key Patterns: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b/>
          <w:bCs/>
        </w:rPr>
        <w:t>•</w:t>
      </w:r>
      <w:r w:rsidRPr="00801138">
        <w:rPr>
          <w:rFonts w:asciiTheme="majorHAnsi" w:hAnsiTheme="majorHAnsi" w:cs="Times New Roman"/>
          <w:b/>
          <w:bCs/>
        </w:rPr>
        <w:tab/>
      </w:r>
      <w:r w:rsidRPr="00801138">
        <w:rPr>
          <w:rFonts w:asciiTheme="majorHAnsi" w:hAnsiTheme="majorHAnsi" w:cs="Times New Roman"/>
        </w:rPr>
        <w:t>Dual market: high-skill freelancers (</w:t>
      </w:r>
      <w:proofErr w:type="spellStart"/>
      <w:r w:rsidRPr="00801138">
        <w:rPr>
          <w:rFonts w:asciiTheme="majorHAnsi" w:hAnsiTheme="majorHAnsi" w:cs="Times New Roman"/>
        </w:rPr>
        <w:t>Upwork</w:t>
      </w:r>
      <w:proofErr w:type="spellEnd"/>
      <w:r w:rsidRPr="00801138">
        <w:rPr>
          <w:rFonts w:asciiTheme="majorHAnsi" w:hAnsiTheme="majorHAnsi" w:cs="Times New Roman"/>
        </w:rPr>
        <w:t>) are paid $38.50/hour on average; low-skill transport workers are paid 14.30/hour.</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w:t>
      </w:r>
      <w:r w:rsidRPr="00801138">
        <w:rPr>
          <w:rFonts w:asciiTheme="majorHAnsi" w:hAnsiTheme="majorHAnsi" w:cs="Times New Roman"/>
        </w:rPr>
        <w:tab/>
        <w:t>Hours concentration: Median concentration of gig worker is 85 hours/month, although 34% work more than 150 hours (full-time equivalent)</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w:t>
      </w:r>
      <w:r w:rsidRPr="00801138">
        <w:rPr>
          <w:rFonts w:asciiTheme="majorHAnsi" w:hAnsiTheme="majorHAnsi" w:cs="Times New Roman"/>
        </w:rPr>
        <w:tab/>
        <w:t>Volatility: The average earnings change is 52 percent per month versus 0.15 per month in the case of conventional employees -3.4x higher.</w:t>
      </w:r>
    </w:p>
    <w:p w:rsidR="00BE0F3C" w:rsidRPr="00801138" w:rsidRDefault="00BE0F3C" w:rsidP="00BE0F3C">
      <w:pPr>
        <w:spacing w:line="240" w:lineRule="auto"/>
        <w:jc w:val="both"/>
        <w:rPr>
          <w:rFonts w:asciiTheme="majorHAnsi" w:hAnsiTheme="majorHAnsi" w:cs="Times New Roman"/>
          <w:b/>
          <w:bCs/>
        </w:rPr>
      </w:pPr>
    </w:p>
    <w:p w:rsidR="00BE0F3C" w:rsidRPr="00801138" w:rsidRDefault="00BE0F3C" w:rsidP="00BE0F3C">
      <w:pPr>
        <w:spacing w:line="240" w:lineRule="auto"/>
        <w:jc w:val="both"/>
        <w:rPr>
          <w:rFonts w:asciiTheme="majorHAnsi" w:hAnsiTheme="majorHAnsi" w:cs="Times New Roman"/>
          <w:b/>
          <w:bCs/>
        </w:rPr>
      </w:pPr>
    </w:p>
    <w:p w:rsidR="00BE0F3C" w:rsidRPr="00801138" w:rsidRDefault="00BE0F3C" w:rsidP="00BE0F3C">
      <w:pPr>
        <w:spacing w:line="240" w:lineRule="auto"/>
        <w:jc w:val="both"/>
        <w:rPr>
          <w:rFonts w:asciiTheme="majorHAnsi" w:hAnsiTheme="majorHAnsi" w:cs="Times New Roman"/>
          <w:b/>
          <w:bCs/>
        </w:rPr>
      </w:pPr>
    </w:p>
    <w:p w:rsidR="00BE0F3C" w:rsidRPr="00801138" w:rsidRDefault="00BE0F3C" w:rsidP="00BE0F3C">
      <w:pPr>
        <w:spacing w:line="240" w:lineRule="auto"/>
        <w:jc w:val="both"/>
        <w:rPr>
          <w:rFonts w:asciiTheme="majorHAnsi" w:hAnsiTheme="majorHAnsi" w:cs="Times New Roman"/>
          <w:b/>
          <w:bCs/>
        </w:rPr>
      </w:pP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b/>
          <w:bCs/>
        </w:rPr>
        <w:t>Table 2</w:t>
      </w:r>
      <w:proofErr w:type="gramStart"/>
      <w:r w:rsidRPr="00801138">
        <w:rPr>
          <w:rFonts w:asciiTheme="majorHAnsi" w:hAnsiTheme="majorHAnsi" w:cs="Times New Roman"/>
          <w:b/>
          <w:bCs/>
        </w:rPr>
        <w:t>:Flexibility</w:t>
      </w:r>
      <w:proofErr w:type="gramEnd"/>
      <w:r w:rsidRPr="00801138">
        <w:rPr>
          <w:rFonts w:asciiTheme="majorHAnsi" w:hAnsiTheme="majorHAnsi" w:cs="Times New Roman"/>
          <w:b/>
          <w:bCs/>
        </w:rPr>
        <w:t xml:space="preserve"> Premium by Platform Type ($/hour)</w:t>
      </w:r>
    </w:p>
    <w:tbl>
      <w:tblPr>
        <w:tblStyle w:val="TableGrid"/>
        <w:tblW w:w="0" w:type="auto"/>
        <w:tblLook w:val="04A0" w:firstRow="1" w:lastRow="0" w:firstColumn="1" w:lastColumn="0" w:noHBand="0" w:noVBand="1"/>
      </w:tblPr>
      <w:tblGrid>
        <w:gridCol w:w="1967"/>
        <w:gridCol w:w="1737"/>
        <w:gridCol w:w="2543"/>
        <w:gridCol w:w="2630"/>
        <w:gridCol w:w="2139"/>
      </w:tblGrid>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b/>
                <w:bCs/>
                <w:sz w:val="22"/>
                <w:szCs w:val="22"/>
              </w:rPr>
            </w:pPr>
            <w:r w:rsidRPr="00801138">
              <w:rPr>
                <w:rFonts w:asciiTheme="majorHAnsi" w:hAnsiTheme="majorHAnsi" w:cs="Times New Roman"/>
                <w:b/>
                <w:bCs/>
                <w:sz w:val="22"/>
                <w:szCs w:val="22"/>
              </w:rPr>
              <w:t>Platform</w:t>
            </w:r>
          </w:p>
        </w:tc>
        <w:tc>
          <w:tcPr>
            <w:tcW w:w="0" w:type="auto"/>
            <w:hideMark/>
          </w:tcPr>
          <w:p w:rsidR="00BE0F3C" w:rsidRPr="00801138" w:rsidRDefault="00BE0F3C" w:rsidP="00BE0F3C">
            <w:pPr>
              <w:spacing w:after="160"/>
              <w:jc w:val="both"/>
              <w:rPr>
                <w:rFonts w:asciiTheme="majorHAnsi" w:hAnsiTheme="majorHAnsi" w:cs="Times New Roman"/>
                <w:b/>
                <w:bCs/>
                <w:sz w:val="22"/>
                <w:szCs w:val="22"/>
              </w:rPr>
            </w:pPr>
            <w:r w:rsidRPr="00801138">
              <w:rPr>
                <w:rFonts w:asciiTheme="majorHAnsi" w:hAnsiTheme="majorHAnsi" w:cs="Times New Roman"/>
                <w:b/>
                <w:bCs/>
                <w:sz w:val="22"/>
                <w:szCs w:val="22"/>
              </w:rPr>
              <w:t>Gross Wage Gap</w:t>
            </w:r>
          </w:p>
        </w:tc>
        <w:tc>
          <w:tcPr>
            <w:tcW w:w="0" w:type="auto"/>
            <w:hideMark/>
          </w:tcPr>
          <w:p w:rsidR="00BE0F3C" w:rsidRPr="00801138" w:rsidRDefault="00BE0F3C" w:rsidP="00BE0F3C">
            <w:pPr>
              <w:spacing w:after="160"/>
              <w:jc w:val="both"/>
              <w:rPr>
                <w:rFonts w:asciiTheme="majorHAnsi" w:hAnsiTheme="majorHAnsi" w:cs="Times New Roman"/>
                <w:b/>
                <w:bCs/>
                <w:sz w:val="22"/>
                <w:szCs w:val="22"/>
              </w:rPr>
            </w:pPr>
            <w:r w:rsidRPr="00801138">
              <w:rPr>
                <w:rFonts w:asciiTheme="majorHAnsi" w:hAnsiTheme="majorHAnsi" w:cs="Times New Roman"/>
                <w:b/>
                <w:bCs/>
                <w:sz w:val="22"/>
                <w:szCs w:val="22"/>
              </w:rPr>
              <w:t>WTA Flexibility (Survey)</w:t>
            </w:r>
          </w:p>
        </w:tc>
        <w:tc>
          <w:tcPr>
            <w:tcW w:w="0" w:type="auto"/>
            <w:hideMark/>
          </w:tcPr>
          <w:p w:rsidR="00BE0F3C" w:rsidRPr="00801138" w:rsidRDefault="00BE0F3C" w:rsidP="00BE0F3C">
            <w:pPr>
              <w:spacing w:after="160"/>
              <w:jc w:val="both"/>
              <w:rPr>
                <w:rFonts w:asciiTheme="majorHAnsi" w:hAnsiTheme="majorHAnsi" w:cs="Times New Roman"/>
                <w:b/>
                <w:bCs/>
                <w:sz w:val="22"/>
                <w:szCs w:val="22"/>
              </w:rPr>
            </w:pPr>
            <w:r w:rsidRPr="00801138">
              <w:rPr>
                <w:rFonts w:asciiTheme="majorHAnsi" w:hAnsiTheme="majorHAnsi" w:cs="Times New Roman"/>
                <w:b/>
                <w:bCs/>
                <w:sz w:val="22"/>
                <w:szCs w:val="22"/>
              </w:rPr>
              <w:t>RP Flexibility (Observed)</w:t>
            </w:r>
          </w:p>
        </w:tc>
        <w:tc>
          <w:tcPr>
            <w:tcW w:w="0" w:type="auto"/>
            <w:hideMark/>
          </w:tcPr>
          <w:p w:rsidR="00BE0F3C" w:rsidRPr="00801138" w:rsidRDefault="00BE0F3C" w:rsidP="00BE0F3C">
            <w:pPr>
              <w:spacing w:after="160"/>
              <w:jc w:val="both"/>
              <w:rPr>
                <w:rFonts w:asciiTheme="majorHAnsi" w:hAnsiTheme="majorHAnsi" w:cs="Times New Roman"/>
                <w:b/>
                <w:bCs/>
                <w:sz w:val="22"/>
                <w:szCs w:val="22"/>
              </w:rPr>
            </w:pPr>
            <w:r w:rsidRPr="00801138">
              <w:rPr>
                <w:rFonts w:asciiTheme="majorHAnsi" w:hAnsiTheme="majorHAnsi" w:cs="Times New Roman"/>
                <w:b/>
                <w:bCs/>
                <w:sz w:val="22"/>
                <w:szCs w:val="22"/>
              </w:rPr>
              <w:t>Flexibility Premium</w:t>
            </w:r>
          </w:p>
        </w:tc>
      </w:tr>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sz w:val="22"/>
                <w:szCs w:val="22"/>
              </w:rPr>
            </w:pPr>
            <w:proofErr w:type="spellStart"/>
            <w:r w:rsidRPr="00801138">
              <w:rPr>
                <w:rFonts w:asciiTheme="majorHAnsi" w:hAnsiTheme="majorHAnsi" w:cs="Times New Roman"/>
                <w:b/>
                <w:bCs/>
                <w:sz w:val="22"/>
                <w:szCs w:val="22"/>
              </w:rPr>
              <w:t>Uber</w:t>
            </w:r>
            <w:proofErr w:type="spellEnd"/>
            <w:r w:rsidRPr="00801138">
              <w:rPr>
                <w:rFonts w:asciiTheme="majorHAnsi" w:hAnsiTheme="majorHAnsi" w:cs="Times New Roman"/>
                <w:b/>
                <w:bCs/>
                <w:sz w:val="22"/>
                <w:szCs w:val="22"/>
              </w:rPr>
              <w:t>/</w:t>
            </w:r>
            <w:proofErr w:type="spellStart"/>
            <w:r w:rsidRPr="00801138">
              <w:rPr>
                <w:rFonts w:asciiTheme="majorHAnsi" w:hAnsiTheme="majorHAnsi" w:cs="Times New Roman"/>
                <w:b/>
                <w:bCs/>
                <w:sz w:val="22"/>
                <w:szCs w:val="22"/>
              </w:rPr>
              <w:t>Lyft</w:t>
            </w:r>
            <w:proofErr w:type="spellEnd"/>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-$8.40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$4.80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$3.90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$4.20</w:t>
            </w:r>
          </w:p>
        </w:tc>
      </w:tr>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sz w:val="22"/>
                <w:szCs w:val="22"/>
              </w:rPr>
            </w:pPr>
            <w:proofErr w:type="spellStart"/>
            <w:r w:rsidRPr="00801138">
              <w:rPr>
                <w:rFonts w:asciiTheme="majorHAnsi" w:hAnsiTheme="majorHAnsi" w:cs="Times New Roman"/>
                <w:b/>
                <w:bCs/>
                <w:sz w:val="22"/>
                <w:szCs w:val="22"/>
              </w:rPr>
              <w:t>TaskRabbit</w:t>
            </w:r>
            <w:proofErr w:type="spellEnd"/>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-$6.20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$3.60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$4.10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$3.85</w:t>
            </w:r>
          </w:p>
        </w:tc>
      </w:tr>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sz w:val="22"/>
                <w:szCs w:val="22"/>
              </w:rPr>
            </w:pPr>
            <w:proofErr w:type="spellStart"/>
            <w:r w:rsidRPr="00801138">
              <w:rPr>
                <w:rFonts w:asciiTheme="majorHAnsi" w:hAnsiTheme="majorHAnsi" w:cs="Times New Roman"/>
                <w:b/>
                <w:bCs/>
                <w:sz w:val="22"/>
                <w:szCs w:val="22"/>
              </w:rPr>
              <w:t>Upwork</w:t>
            </w:r>
            <w:proofErr w:type="spellEnd"/>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+$2.10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$2.20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$1.80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$2.00</w:t>
            </w:r>
          </w:p>
        </w:tc>
      </w:tr>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lastRenderedPageBreak/>
              <w:t>Weighted Average</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-$6.80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$3.90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$3.70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$4.20</w:t>
            </w:r>
          </w:p>
        </w:tc>
      </w:tr>
    </w:tbl>
    <w:p w:rsidR="00BE0F3C" w:rsidRPr="00801138" w:rsidRDefault="00BE0F3C" w:rsidP="00BE0F3C">
      <w:pPr>
        <w:spacing w:line="240" w:lineRule="auto"/>
        <w:jc w:val="both"/>
        <w:rPr>
          <w:rFonts w:asciiTheme="majorHAnsi" w:hAnsiTheme="majorHAnsi" w:cs="Times New Roman"/>
          <w:b/>
          <w:bCs/>
        </w:rPr>
      </w:pPr>
    </w:p>
    <w:p w:rsidR="00BE0F3C" w:rsidRPr="00801138" w:rsidRDefault="00BE0F3C" w:rsidP="00BE0F3C">
      <w:pPr>
        <w:spacing w:line="240" w:lineRule="auto"/>
        <w:jc w:val="both"/>
        <w:rPr>
          <w:rFonts w:asciiTheme="majorHAnsi" w:hAnsiTheme="majorHAnsi" w:cs="Times New Roman"/>
          <w:b/>
          <w:bCs/>
        </w:rPr>
      </w:pPr>
      <w:r w:rsidRPr="00801138">
        <w:rPr>
          <w:rFonts w:asciiTheme="majorHAnsi" w:hAnsiTheme="majorHAnsi" w:cs="Times New Roman"/>
          <w:b/>
          <w:bCs/>
        </w:rPr>
        <w:t>Methodology:</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b/>
          <w:bCs/>
        </w:rPr>
        <w:t>•</w:t>
      </w:r>
      <w:r w:rsidRPr="00801138">
        <w:rPr>
          <w:rFonts w:asciiTheme="majorHAnsi" w:hAnsiTheme="majorHAnsi" w:cs="Times New Roman"/>
        </w:rPr>
        <w:tab/>
        <w:t>Gross wage gap: Member of effective hourly wage and equalized customary employee wage of wage (22.70/hour floor).</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w:t>
      </w:r>
      <w:r w:rsidRPr="00801138">
        <w:rPr>
          <w:rFonts w:asciiTheme="majorHAnsi" w:hAnsiTheme="majorHAnsi" w:cs="Times New Roman"/>
        </w:rPr>
        <w:tab/>
        <w:t>WTA (Contingent Valuation): Survey median answers to tradeoff between wage-flexibility.</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w:t>
      </w:r>
      <w:r w:rsidRPr="00801138">
        <w:rPr>
          <w:rFonts w:asciiTheme="majorHAnsi" w:hAnsiTheme="majorHAnsi" w:cs="Times New Roman"/>
        </w:rPr>
        <w:tab/>
        <w:t>Revealed Preference (RP): Job-switchers who made the W-2 to give up the gig jobs are the ones used to estimate the actual wage sacrifice.</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xml:space="preserve">Interpretation: The premium of $4.20 flexibility is the monetary estimate of the workers regarding the flexibility in scheduling. Interestingly, when selecting the option of working as an </w:t>
      </w:r>
      <w:proofErr w:type="spellStart"/>
      <w:r w:rsidRPr="00801138">
        <w:rPr>
          <w:rFonts w:asciiTheme="majorHAnsi" w:hAnsiTheme="majorHAnsi" w:cs="Times New Roman"/>
        </w:rPr>
        <w:t>Upwork</w:t>
      </w:r>
      <w:proofErr w:type="spellEnd"/>
      <w:r w:rsidRPr="00801138">
        <w:rPr>
          <w:rFonts w:asciiTheme="majorHAnsi" w:hAnsiTheme="majorHAnsi" w:cs="Times New Roman"/>
        </w:rPr>
        <w:t xml:space="preserve"> freelancer, the negative premium is paid (getting higher salary than a traditional employee) and the low flexibility value is accepted - the selection effect in which high skill levels demand high pay.</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Robustness Check: We measure the flexibility value with local unemployment rates as an instrument (instrument: the higher the flexibility the higher the value of alternative jobs is). IV estimates provide a premium of 4.35/hour hence causal interpretation.</w:t>
      </w:r>
    </w:p>
    <w:p w:rsidR="00BE0F3C" w:rsidRPr="00801138" w:rsidRDefault="00BE0F3C" w:rsidP="00BE0F3C">
      <w:pPr>
        <w:spacing w:line="240" w:lineRule="auto"/>
        <w:jc w:val="both"/>
        <w:rPr>
          <w:rFonts w:asciiTheme="majorHAnsi" w:hAnsiTheme="majorHAnsi" w:cs="Times New Roman"/>
          <w:b/>
          <w:bCs/>
        </w:rPr>
      </w:pPr>
    </w:p>
    <w:p w:rsidR="00BE0F3C" w:rsidRPr="00801138" w:rsidRDefault="00BE0F3C" w:rsidP="00BE0F3C">
      <w:pPr>
        <w:spacing w:line="240" w:lineRule="auto"/>
        <w:jc w:val="both"/>
        <w:rPr>
          <w:rFonts w:asciiTheme="majorHAnsi" w:hAnsiTheme="majorHAnsi" w:cs="Times New Roman"/>
          <w:b/>
          <w:bCs/>
        </w:rPr>
      </w:pP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b/>
          <w:bCs/>
        </w:rPr>
        <w:t xml:space="preserve">Table 3: </w:t>
      </w:r>
      <w:proofErr w:type="spellStart"/>
      <w:r w:rsidRPr="00801138">
        <w:rPr>
          <w:rFonts w:asciiTheme="majorHAnsi" w:hAnsiTheme="majorHAnsi" w:cs="Times New Roman"/>
          <w:b/>
          <w:bCs/>
        </w:rPr>
        <w:t>Precarity</w:t>
      </w:r>
      <w:proofErr w:type="spellEnd"/>
      <w:r w:rsidRPr="00801138">
        <w:rPr>
          <w:rFonts w:asciiTheme="majorHAnsi" w:hAnsiTheme="majorHAnsi" w:cs="Times New Roman"/>
          <w:b/>
          <w:bCs/>
        </w:rPr>
        <w:t xml:space="preserve"> Cost Calculator ($/hour)</w:t>
      </w:r>
    </w:p>
    <w:tbl>
      <w:tblPr>
        <w:tblStyle w:val="TableGrid"/>
        <w:tblW w:w="0" w:type="auto"/>
        <w:tblLook w:val="04A0" w:firstRow="1" w:lastRow="0" w:firstColumn="1" w:lastColumn="0" w:noHBand="0" w:noVBand="1"/>
      </w:tblPr>
      <w:tblGrid>
        <w:gridCol w:w="2619"/>
        <w:gridCol w:w="3377"/>
        <w:gridCol w:w="1250"/>
        <w:gridCol w:w="1413"/>
      </w:tblGrid>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b/>
                <w:bCs/>
                <w:sz w:val="22"/>
                <w:szCs w:val="22"/>
              </w:rPr>
            </w:pPr>
            <w:r w:rsidRPr="00801138">
              <w:rPr>
                <w:rFonts w:asciiTheme="majorHAnsi" w:hAnsiTheme="majorHAnsi" w:cs="Times New Roman"/>
                <w:b/>
                <w:bCs/>
                <w:sz w:val="22"/>
                <w:szCs w:val="22"/>
              </w:rPr>
              <w:t>Cost Component</w:t>
            </w:r>
          </w:p>
        </w:tc>
        <w:tc>
          <w:tcPr>
            <w:tcW w:w="0" w:type="auto"/>
            <w:hideMark/>
          </w:tcPr>
          <w:p w:rsidR="00BE0F3C" w:rsidRPr="00801138" w:rsidRDefault="00BE0F3C" w:rsidP="00BE0F3C">
            <w:pPr>
              <w:spacing w:after="160"/>
              <w:jc w:val="both"/>
              <w:rPr>
                <w:rFonts w:asciiTheme="majorHAnsi" w:hAnsiTheme="majorHAnsi" w:cs="Times New Roman"/>
                <w:b/>
                <w:bCs/>
                <w:sz w:val="22"/>
                <w:szCs w:val="22"/>
              </w:rPr>
            </w:pPr>
            <w:r w:rsidRPr="00801138">
              <w:rPr>
                <w:rFonts w:asciiTheme="majorHAnsi" w:hAnsiTheme="majorHAnsi" w:cs="Times New Roman"/>
                <w:b/>
                <w:bCs/>
                <w:sz w:val="22"/>
                <w:szCs w:val="22"/>
              </w:rPr>
              <w:t>Calculation</w:t>
            </w:r>
          </w:p>
        </w:tc>
        <w:tc>
          <w:tcPr>
            <w:tcW w:w="0" w:type="auto"/>
            <w:hideMark/>
          </w:tcPr>
          <w:p w:rsidR="00BE0F3C" w:rsidRPr="00801138" w:rsidRDefault="00BE0F3C" w:rsidP="00BE0F3C">
            <w:pPr>
              <w:spacing w:after="160"/>
              <w:jc w:val="both"/>
              <w:rPr>
                <w:rFonts w:asciiTheme="majorHAnsi" w:hAnsiTheme="majorHAnsi" w:cs="Times New Roman"/>
                <w:b/>
                <w:bCs/>
                <w:sz w:val="22"/>
                <w:szCs w:val="22"/>
              </w:rPr>
            </w:pPr>
            <w:r w:rsidRPr="00801138">
              <w:rPr>
                <w:rFonts w:asciiTheme="majorHAnsi" w:hAnsiTheme="majorHAnsi" w:cs="Times New Roman"/>
                <w:b/>
                <w:bCs/>
                <w:sz w:val="22"/>
                <w:szCs w:val="22"/>
              </w:rPr>
              <w:t>Mean Cost</w:t>
            </w:r>
          </w:p>
        </w:tc>
        <w:tc>
          <w:tcPr>
            <w:tcW w:w="0" w:type="auto"/>
            <w:hideMark/>
          </w:tcPr>
          <w:p w:rsidR="00BE0F3C" w:rsidRPr="00801138" w:rsidRDefault="00BE0F3C" w:rsidP="00BE0F3C">
            <w:pPr>
              <w:spacing w:after="160"/>
              <w:jc w:val="both"/>
              <w:rPr>
                <w:rFonts w:asciiTheme="majorHAnsi" w:hAnsiTheme="majorHAnsi" w:cs="Times New Roman"/>
                <w:b/>
                <w:bCs/>
                <w:sz w:val="22"/>
                <w:szCs w:val="22"/>
              </w:rPr>
            </w:pPr>
            <w:r w:rsidRPr="00801138">
              <w:rPr>
                <w:rFonts w:asciiTheme="majorHAnsi" w:hAnsiTheme="majorHAnsi" w:cs="Times New Roman"/>
                <w:b/>
                <w:bCs/>
                <w:sz w:val="22"/>
                <w:szCs w:val="22"/>
              </w:rPr>
              <w:t>Range</w:t>
            </w:r>
          </w:p>
        </w:tc>
      </w:tr>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Health insurance</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Private plan - employer subsidy</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$2.80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$1.20-$4.50</w:t>
            </w:r>
          </w:p>
        </w:tc>
      </w:tr>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Retirement benefits</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Lost 401(k) match + tax deferral</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$1.45</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$0.80-$2.30</w:t>
            </w:r>
          </w:p>
        </w:tc>
      </w:tr>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Self-employment tax</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Extra 7.65% FICA on net earnings</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$0.95</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$0.65-$1.25</w:t>
            </w:r>
          </w:p>
        </w:tc>
      </w:tr>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Volatility risk premium</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Actuarial loading for CV&gt;0.3</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$0.40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$0.20-$0.80</w:t>
            </w:r>
          </w:p>
        </w:tc>
      </w:tr>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Workers' compensation</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State-mandated coverage</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$0.20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$0.10-$0.35</w:t>
            </w:r>
          </w:p>
        </w:tc>
      </w:tr>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 xml:space="preserve">Total </w:t>
            </w:r>
            <w:proofErr w:type="spellStart"/>
            <w:r w:rsidRPr="00801138">
              <w:rPr>
                <w:rFonts w:asciiTheme="majorHAnsi" w:hAnsiTheme="majorHAnsi" w:cs="Times New Roman"/>
                <w:b/>
                <w:bCs/>
                <w:sz w:val="22"/>
                <w:szCs w:val="22"/>
              </w:rPr>
              <w:t>Precarity</w:t>
            </w:r>
            <w:proofErr w:type="spellEnd"/>
            <w:r w:rsidRPr="00801138">
              <w:rPr>
                <w:rFonts w:asciiTheme="majorHAnsi" w:hAnsiTheme="majorHAnsi" w:cs="Times New Roman"/>
                <w:b/>
                <w:bCs/>
                <w:sz w:val="22"/>
                <w:szCs w:val="22"/>
              </w:rPr>
              <w:t xml:space="preserve"> Cost</w:t>
            </w:r>
          </w:p>
        </w:tc>
        <w:tc>
          <w:tcPr>
            <w:tcW w:w="0" w:type="auto"/>
            <w:hideMark/>
          </w:tcPr>
          <w:p w:rsidR="00BE0F3C" w:rsidRPr="00801138" w:rsidRDefault="00BE0F3C" w:rsidP="00BE0F3C">
            <w:pPr>
              <w:spacing w:after="160"/>
              <w:jc w:val="both"/>
              <w:rPr>
                <w:rFonts w:asciiTheme="majorHAnsi" w:hAnsiTheme="majorHAnsi" w:cs="Times New Roman"/>
                <w:sz w:val="22"/>
                <w:szCs w:val="22"/>
              </w:rPr>
            </w:pP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$5.80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$3.65-$9.20</w:t>
            </w:r>
          </w:p>
        </w:tc>
      </w:tr>
    </w:tbl>
    <w:p w:rsidR="00BE0F3C" w:rsidRPr="00801138" w:rsidRDefault="00BE0F3C" w:rsidP="00BE0F3C">
      <w:pPr>
        <w:spacing w:line="240" w:lineRule="auto"/>
        <w:jc w:val="both"/>
        <w:rPr>
          <w:rFonts w:asciiTheme="majorHAnsi" w:hAnsiTheme="majorHAnsi" w:cs="Times New Roman"/>
          <w:b/>
          <w:bCs/>
        </w:rPr>
      </w:pP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b/>
          <w:bCs/>
        </w:rPr>
        <w:t>Component Details: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xml:space="preserve">Health Insurance (2.80/hour): Averages of the ACA silver plan (average) cost us $465/month ($2.79/hour at 167 hours/month). The conventional employees are paying $110/month with employer subsidies (22% of premium). No subsidies are provided to gig workers whose income qualifies them to get ACA credits (below 400 percent FPL). Workers are given partial subsidies at median gig earnings (24,850) and the net cost is brought down to 2.80/hour. </w:t>
      </w:r>
      <w:proofErr w:type="gramStart"/>
      <w:r w:rsidRPr="00801138">
        <w:rPr>
          <w:rFonts w:asciiTheme="majorHAnsi" w:hAnsiTheme="majorHAnsi" w:cs="Times New Roman"/>
        </w:rPr>
        <w:t>Age rating results in workers with ages of more than 55 paying $4.50/hour.</w:t>
      </w:r>
      <w:proofErr w:type="gramEnd"/>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Retirement Benefits (1.45/ hour): Common employer 401(k) match is 3-5 per cent of salary. This is equivalent to 0.68-1.14/hour in the traditional wage of $22.70/hour. The tax deferral on the contributions made by the employer is an addition of 0.31/hour present value. Gig employees are not entitled to this; 8% of them have IRA accounts as compared to 62 percent of the traditional workers under 401(k</w:t>
      </w:r>
      <w:proofErr w:type="gramStart"/>
      <w:r w:rsidRPr="00801138">
        <w:rPr>
          <w:rFonts w:asciiTheme="majorHAnsi" w:hAnsiTheme="majorHAnsi" w:cs="Times New Roman"/>
        </w:rPr>
        <w:t>)s</w:t>
      </w:r>
      <w:proofErr w:type="gramEnd"/>
      <w:r w:rsidRPr="00801138">
        <w:rPr>
          <w:rFonts w:asciiTheme="majorHAnsi" w:hAnsiTheme="majorHAnsi" w:cs="Times New Roman"/>
        </w:rPr>
        <w:t>.</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lastRenderedPageBreak/>
        <w:t xml:space="preserve">Tax on Self-Employment (0.95/hour): Gig </w:t>
      </w:r>
      <w:proofErr w:type="spellStart"/>
      <w:r w:rsidRPr="00801138">
        <w:rPr>
          <w:rFonts w:asciiTheme="majorHAnsi" w:hAnsiTheme="majorHAnsi" w:cs="Times New Roman"/>
        </w:rPr>
        <w:t>workers</w:t>
      </w:r>
      <w:proofErr w:type="spellEnd"/>
      <w:r w:rsidRPr="00801138">
        <w:rPr>
          <w:rFonts w:asciiTheme="majorHAnsi" w:hAnsiTheme="majorHAnsi" w:cs="Times New Roman"/>
        </w:rPr>
        <w:t xml:space="preserve"> pay 15.3 FICA in its entirety (12.4% in Social Security, 2.9% in Medicare). Traditional workers contribute 7.65 percent employer contribution. At a rate of $16.20/hour gig wage, extra 7.65 percent = 1.24/hour, but adjustable off against income tax, brings down to 0.95/hour.</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xml:space="preserve">Volatility Risk Premium </w:t>
      </w:r>
      <w:proofErr w:type="gramStart"/>
      <w:r w:rsidRPr="00801138">
        <w:rPr>
          <w:rFonts w:asciiTheme="majorHAnsi" w:hAnsiTheme="majorHAnsi" w:cs="Times New Roman"/>
        </w:rPr>
        <w:t>( 0.40</w:t>
      </w:r>
      <w:proofErr w:type="gramEnd"/>
      <w:r w:rsidRPr="00801138">
        <w:rPr>
          <w:rFonts w:asciiTheme="majorHAnsi" w:hAnsiTheme="majorHAnsi" w:cs="Times New Roman"/>
        </w:rPr>
        <w:t>/hour): The Actuaries price the volatility of incomes by using coefficient of variation. No premium is needed by the traditional employees (CV=0.15). Gig workers (CV=0.52) are at risk 3.4 times more. The insurance literature costs this at 0.20/</w:t>
      </w:r>
      <w:proofErr w:type="spellStart"/>
      <w:r w:rsidRPr="00801138">
        <w:rPr>
          <w:rFonts w:asciiTheme="majorHAnsi" w:hAnsiTheme="majorHAnsi" w:cs="Times New Roman"/>
        </w:rPr>
        <w:t>hr</w:t>
      </w:r>
      <w:proofErr w:type="spellEnd"/>
      <w:r w:rsidRPr="00801138">
        <w:rPr>
          <w:rFonts w:asciiTheme="majorHAnsi" w:hAnsiTheme="majorHAnsi" w:cs="Times New Roman"/>
        </w:rPr>
        <w:t xml:space="preserve"> per 0.1 CV over 0.2 and its result is 0.40-0.80/hr.</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Workers Compensation (.20/hour): The average rate in the state is 0.75 on every 100 dollars of the payroll in non-hazardous occupations. Gig workers are not covered; they can get similar benefits by spending $0.20/hour on occupational accident insurance which is not provided by the government.</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b/>
          <w:bCs/>
        </w:rPr>
        <w:t>Table 4: Net Hourly Welfare by Demographic Group</w:t>
      </w:r>
    </w:p>
    <w:tbl>
      <w:tblPr>
        <w:tblStyle w:val="TableGrid"/>
        <w:tblW w:w="0" w:type="auto"/>
        <w:tblLook w:val="04A0" w:firstRow="1" w:lastRow="0" w:firstColumn="1" w:lastColumn="0" w:noHBand="0" w:noVBand="1"/>
      </w:tblPr>
      <w:tblGrid>
        <w:gridCol w:w="3364"/>
        <w:gridCol w:w="2227"/>
        <w:gridCol w:w="1635"/>
        <w:gridCol w:w="1398"/>
        <w:gridCol w:w="1594"/>
      </w:tblGrid>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b/>
                <w:bCs/>
                <w:sz w:val="22"/>
                <w:szCs w:val="22"/>
              </w:rPr>
            </w:pPr>
            <w:r w:rsidRPr="00801138">
              <w:rPr>
                <w:rFonts w:asciiTheme="majorHAnsi" w:hAnsiTheme="majorHAnsi" w:cs="Times New Roman"/>
                <w:b/>
                <w:bCs/>
                <w:sz w:val="22"/>
                <w:szCs w:val="22"/>
              </w:rPr>
              <w:t>Group</w:t>
            </w:r>
          </w:p>
        </w:tc>
        <w:tc>
          <w:tcPr>
            <w:tcW w:w="0" w:type="auto"/>
            <w:hideMark/>
          </w:tcPr>
          <w:p w:rsidR="00BE0F3C" w:rsidRPr="00801138" w:rsidRDefault="00BE0F3C" w:rsidP="00BE0F3C">
            <w:pPr>
              <w:spacing w:after="160"/>
              <w:jc w:val="both"/>
              <w:rPr>
                <w:rFonts w:asciiTheme="majorHAnsi" w:hAnsiTheme="majorHAnsi" w:cs="Times New Roman"/>
                <w:b/>
                <w:bCs/>
                <w:sz w:val="22"/>
                <w:szCs w:val="22"/>
              </w:rPr>
            </w:pPr>
            <w:r w:rsidRPr="00801138">
              <w:rPr>
                <w:rFonts w:asciiTheme="majorHAnsi" w:hAnsiTheme="majorHAnsi" w:cs="Times New Roman"/>
                <w:b/>
                <w:bCs/>
                <w:sz w:val="22"/>
                <w:szCs w:val="22"/>
              </w:rPr>
              <w:t>Flexibility Premium</w:t>
            </w:r>
          </w:p>
        </w:tc>
        <w:tc>
          <w:tcPr>
            <w:tcW w:w="0" w:type="auto"/>
            <w:hideMark/>
          </w:tcPr>
          <w:p w:rsidR="00BE0F3C" w:rsidRPr="00801138" w:rsidRDefault="00BE0F3C" w:rsidP="00BE0F3C">
            <w:pPr>
              <w:spacing w:after="160"/>
              <w:jc w:val="both"/>
              <w:rPr>
                <w:rFonts w:asciiTheme="majorHAnsi" w:hAnsiTheme="majorHAnsi" w:cs="Times New Roman"/>
                <w:b/>
                <w:bCs/>
                <w:sz w:val="22"/>
                <w:szCs w:val="22"/>
              </w:rPr>
            </w:pPr>
            <w:proofErr w:type="spellStart"/>
            <w:r w:rsidRPr="00801138">
              <w:rPr>
                <w:rFonts w:asciiTheme="majorHAnsi" w:hAnsiTheme="majorHAnsi" w:cs="Times New Roman"/>
                <w:b/>
                <w:bCs/>
                <w:sz w:val="22"/>
                <w:szCs w:val="22"/>
              </w:rPr>
              <w:t>Precarity</w:t>
            </w:r>
            <w:proofErr w:type="spellEnd"/>
            <w:r w:rsidRPr="00801138">
              <w:rPr>
                <w:rFonts w:asciiTheme="majorHAnsi" w:hAnsiTheme="majorHAnsi" w:cs="Times New Roman"/>
                <w:b/>
                <w:bCs/>
                <w:sz w:val="22"/>
                <w:szCs w:val="22"/>
              </w:rPr>
              <w:t xml:space="preserve"> Cost</w:t>
            </w:r>
          </w:p>
        </w:tc>
        <w:tc>
          <w:tcPr>
            <w:tcW w:w="0" w:type="auto"/>
            <w:hideMark/>
          </w:tcPr>
          <w:p w:rsidR="00BE0F3C" w:rsidRPr="00801138" w:rsidRDefault="00BE0F3C" w:rsidP="00BE0F3C">
            <w:pPr>
              <w:spacing w:after="160"/>
              <w:jc w:val="both"/>
              <w:rPr>
                <w:rFonts w:asciiTheme="majorHAnsi" w:hAnsiTheme="majorHAnsi" w:cs="Times New Roman"/>
                <w:b/>
                <w:bCs/>
                <w:sz w:val="22"/>
                <w:szCs w:val="22"/>
              </w:rPr>
            </w:pPr>
            <w:r w:rsidRPr="00801138">
              <w:rPr>
                <w:rFonts w:asciiTheme="majorHAnsi" w:hAnsiTheme="majorHAnsi" w:cs="Times New Roman"/>
                <w:b/>
                <w:bCs/>
                <w:sz w:val="22"/>
                <w:szCs w:val="22"/>
              </w:rPr>
              <w:t>Net Welfare</w:t>
            </w:r>
          </w:p>
        </w:tc>
        <w:tc>
          <w:tcPr>
            <w:tcW w:w="0" w:type="auto"/>
            <w:hideMark/>
          </w:tcPr>
          <w:p w:rsidR="00BE0F3C" w:rsidRPr="00801138" w:rsidRDefault="00BE0F3C" w:rsidP="00BE0F3C">
            <w:pPr>
              <w:spacing w:after="160"/>
              <w:jc w:val="both"/>
              <w:rPr>
                <w:rFonts w:asciiTheme="majorHAnsi" w:hAnsiTheme="majorHAnsi" w:cs="Times New Roman"/>
                <w:b/>
                <w:bCs/>
                <w:sz w:val="22"/>
                <w:szCs w:val="22"/>
              </w:rPr>
            </w:pPr>
            <w:r w:rsidRPr="00801138">
              <w:rPr>
                <w:rFonts w:asciiTheme="majorHAnsi" w:hAnsiTheme="majorHAnsi" w:cs="Times New Roman"/>
                <w:b/>
                <w:bCs/>
                <w:sz w:val="22"/>
                <w:szCs w:val="22"/>
              </w:rPr>
              <w:t>% of Workers</w:t>
            </w:r>
          </w:p>
        </w:tc>
      </w:tr>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Overall</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$4.20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$5.80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-$1.60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100%</w:t>
            </w:r>
          </w:p>
        </w:tc>
      </w:tr>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Platform Type:</w:t>
            </w:r>
          </w:p>
        </w:tc>
        <w:tc>
          <w:tcPr>
            <w:tcW w:w="0" w:type="auto"/>
            <w:hideMark/>
          </w:tcPr>
          <w:p w:rsidR="00BE0F3C" w:rsidRPr="00801138" w:rsidRDefault="00BE0F3C" w:rsidP="00BE0F3C">
            <w:pPr>
              <w:spacing w:after="160"/>
              <w:jc w:val="both"/>
              <w:rPr>
                <w:rFonts w:asciiTheme="majorHAnsi" w:hAnsiTheme="majorHAnsi" w:cs="Times New Roman"/>
                <w:sz w:val="22"/>
                <w:szCs w:val="22"/>
              </w:rPr>
            </w:pPr>
          </w:p>
        </w:tc>
        <w:tc>
          <w:tcPr>
            <w:tcW w:w="0" w:type="auto"/>
            <w:hideMark/>
          </w:tcPr>
          <w:p w:rsidR="00BE0F3C" w:rsidRPr="00801138" w:rsidRDefault="00BE0F3C" w:rsidP="00BE0F3C">
            <w:pPr>
              <w:spacing w:after="160"/>
              <w:jc w:val="both"/>
              <w:rPr>
                <w:rFonts w:asciiTheme="majorHAnsi" w:hAnsiTheme="majorHAnsi" w:cs="Times New Roman"/>
                <w:sz w:val="22"/>
                <w:szCs w:val="22"/>
              </w:rPr>
            </w:pPr>
          </w:p>
        </w:tc>
        <w:tc>
          <w:tcPr>
            <w:tcW w:w="0" w:type="auto"/>
            <w:hideMark/>
          </w:tcPr>
          <w:p w:rsidR="00BE0F3C" w:rsidRPr="00801138" w:rsidRDefault="00BE0F3C" w:rsidP="00BE0F3C">
            <w:pPr>
              <w:spacing w:after="160"/>
              <w:jc w:val="both"/>
              <w:rPr>
                <w:rFonts w:asciiTheme="majorHAnsi" w:hAnsiTheme="majorHAnsi" w:cs="Times New Roman"/>
                <w:sz w:val="22"/>
                <w:szCs w:val="22"/>
              </w:rPr>
            </w:pPr>
          </w:p>
        </w:tc>
        <w:tc>
          <w:tcPr>
            <w:tcW w:w="0" w:type="auto"/>
            <w:hideMark/>
          </w:tcPr>
          <w:p w:rsidR="00BE0F3C" w:rsidRPr="00801138" w:rsidRDefault="00BE0F3C" w:rsidP="00BE0F3C">
            <w:pPr>
              <w:spacing w:after="160"/>
              <w:jc w:val="both"/>
              <w:rPr>
                <w:rFonts w:asciiTheme="majorHAnsi" w:hAnsiTheme="majorHAnsi" w:cs="Times New Roman"/>
                <w:sz w:val="22"/>
                <w:szCs w:val="22"/>
              </w:rPr>
            </w:pPr>
          </w:p>
        </w:tc>
      </w:tr>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Transport (</w:t>
            </w:r>
            <w:proofErr w:type="spellStart"/>
            <w:r w:rsidRPr="00801138">
              <w:rPr>
                <w:rFonts w:asciiTheme="majorHAnsi" w:hAnsiTheme="majorHAnsi" w:cs="Times New Roman"/>
                <w:sz w:val="22"/>
                <w:szCs w:val="22"/>
              </w:rPr>
              <w:t>Uber</w:t>
            </w:r>
            <w:proofErr w:type="spellEnd"/>
            <w:r w:rsidRPr="00801138">
              <w:rPr>
                <w:rFonts w:asciiTheme="majorHAnsi" w:hAnsiTheme="majorHAnsi" w:cs="Times New Roman"/>
                <w:sz w:val="22"/>
                <w:szCs w:val="22"/>
              </w:rPr>
              <w:t>)</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$4.20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$6.10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-$1.90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60%</w:t>
            </w:r>
          </w:p>
        </w:tc>
      </w:tr>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Task (</w:t>
            </w:r>
            <w:proofErr w:type="spellStart"/>
            <w:r w:rsidRPr="00801138">
              <w:rPr>
                <w:rFonts w:asciiTheme="majorHAnsi" w:hAnsiTheme="majorHAnsi" w:cs="Times New Roman"/>
                <w:sz w:val="22"/>
                <w:szCs w:val="22"/>
              </w:rPr>
              <w:t>TaskRabbit</w:t>
            </w:r>
            <w:proofErr w:type="spellEnd"/>
            <w:r w:rsidRPr="00801138">
              <w:rPr>
                <w:rFonts w:asciiTheme="majorHAnsi" w:hAnsiTheme="majorHAnsi" w:cs="Times New Roman"/>
                <w:sz w:val="22"/>
                <w:szCs w:val="22"/>
              </w:rPr>
              <w:t>)</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$3.85</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$5.40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-$1.55</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25%</w:t>
            </w:r>
          </w:p>
        </w:tc>
      </w:tr>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Freelance (</w:t>
            </w:r>
            <w:proofErr w:type="spellStart"/>
            <w:r w:rsidRPr="00801138">
              <w:rPr>
                <w:rFonts w:asciiTheme="majorHAnsi" w:hAnsiTheme="majorHAnsi" w:cs="Times New Roman"/>
                <w:sz w:val="22"/>
                <w:szCs w:val="22"/>
              </w:rPr>
              <w:t>Upwork</w:t>
            </w:r>
            <w:proofErr w:type="spellEnd"/>
            <w:r w:rsidRPr="00801138">
              <w:rPr>
                <w:rFonts w:asciiTheme="majorHAnsi" w:hAnsiTheme="majorHAnsi" w:cs="Times New Roman"/>
                <w:sz w:val="22"/>
                <w:szCs w:val="22"/>
              </w:rPr>
              <w:t>)</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$2.00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$5.20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+$3.20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15%</w:t>
            </w:r>
          </w:p>
        </w:tc>
      </w:tr>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Age:</w:t>
            </w:r>
          </w:p>
        </w:tc>
        <w:tc>
          <w:tcPr>
            <w:tcW w:w="0" w:type="auto"/>
            <w:hideMark/>
          </w:tcPr>
          <w:p w:rsidR="00BE0F3C" w:rsidRPr="00801138" w:rsidRDefault="00BE0F3C" w:rsidP="00BE0F3C">
            <w:pPr>
              <w:spacing w:after="160"/>
              <w:jc w:val="both"/>
              <w:rPr>
                <w:rFonts w:asciiTheme="majorHAnsi" w:hAnsiTheme="majorHAnsi" w:cs="Times New Roman"/>
                <w:sz w:val="22"/>
                <w:szCs w:val="22"/>
              </w:rPr>
            </w:pPr>
          </w:p>
        </w:tc>
        <w:tc>
          <w:tcPr>
            <w:tcW w:w="0" w:type="auto"/>
            <w:hideMark/>
          </w:tcPr>
          <w:p w:rsidR="00BE0F3C" w:rsidRPr="00801138" w:rsidRDefault="00BE0F3C" w:rsidP="00BE0F3C">
            <w:pPr>
              <w:spacing w:after="160"/>
              <w:jc w:val="both"/>
              <w:rPr>
                <w:rFonts w:asciiTheme="majorHAnsi" w:hAnsiTheme="majorHAnsi" w:cs="Times New Roman"/>
                <w:sz w:val="22"/>
                <w:szCs w:val="22"/>
              </w:rPr>
            </w:pPr>
          </w:p>
        </w:tc>
        <w:tc>
          <w:tcPr>
            <w:tcW w:w="0" w:type="auto"/>
            <w:hideMark/>
          </w:tcPr>
          <w:p w:rsidR="00BE0F3C" w:rsidRPr="00801138" w:rsidRDefault="00BE0F3C" w:rsidP="00BE0F3C">
            <w:pPr>
              <w:spacing w:after="160"/>
              <w:jc w:val="both"/>
              <w:rPr>
                <w:rFonts w:asciiTheme="majorHAnsi" w:hAnsiTheme="majorHAnsi" w:cs="Times New Roman"/>
                <w:sz w:val="22"/>
                <w:szCs w:val="22"/>
              </w:rPr>
            </w:pPr>
          </w:p>
        </w:tc>
        <w:tc>
          <w:tcPr>
            <w:tcW w:w="0" w:type="auto"/>
            <w:hideMark/>
          </w:tcPr>
          <w:p w:rsidR="00BE0F3C" w:rsidRPr="00801138" w:rsidRDefault="00BE0F3C" w:rsidP="00BE0F3C">
            <w:pPr>
              <w:spacing w:after="160"/>
              <w:jc w:val="both"/>
              <w:rPr>
                <w:rFonts w:asciiTheme="majorHAnsi" w:hAnsiTheme="majorHAnsi" w:cs="Times New Roman"/>
                <w:sz w:val="22"/>
                <w:szCs w:val="22"/>
              </w:rPr>
            </w:pPr>
          </w:p>
        </w:tc>
      </w:tr>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Under 35</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$4.50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$6.90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-$2.40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42%</w:t>
            </w:r>
          </w:p>
        </w:tc>
      </w:tr>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35-54</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$4.10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$5.60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-$1.50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41%</w:t>
            </w:r>
          </w:p>
        </w:tc>
      </w:tr>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55+</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$3.60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$4.40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-$0.80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17%</w:t>
            </w:r>
          </w:p>
        </w:tc>
      </w:tr>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Earnings Quartile:</w:t>
            </w:r>
          </w:p>
        </w:tc>
        <w:tc>
          <w:tcPr>
            <w:tcW w:w="0" w:type="auto"/>
            <w:hideMark/>
          </w:tcPr>
          <w:p w:rsidR="00BE0F3C" w:rsidRPr="00801138" w:rsidRDefault="00BE0F3C" w:rsidP="00BE0F3C">
            <w:pPr>
              <w:spacing w:after="160"/>
              <w:jc w:val="both"/>
              <w:rPr>
                <w:rFonts w:asciiTheme="majorHAnsi" w:hAnsiTheme="majorHAnsi" w:cs="Times New Roman"/>
                <w:sz w:val="22"/>
                <w:szCs w:val="22"/>
              </w:rPr>
            </w:pPr>
          </w:p>
        </w:tc>
        <w:tc>
          <w:tcPr>
            <w:tcW w:w="0" w:type="auto"/>
            <w:hideMark/>
          </w:tcPr>
          <w:p w:rsidR="00BE0F3C" w:rsidRPr="00801138" w:rsidRDefault="00BE0F3C" w:rsidP="00BE0F3C">
            <w:pPr>
              <w:spacing w:after="160"/>
              <w:jc w:val="both"/>
              <w:rPr>
                <w:rFonts w:asciiTheme="majorHAnsi" w:hAnsiTheme="majorHAnsi" w:cs="Times New Roman"/>
                <w:sz w:val="22"/>
                <w:szCs w:val="22"/>
              </w:rPr>
            </w:pPr>
          </w:p>
        </w:tc>
        <w:tc>
          <w:tcPr>
            <w:tcW w:w="0" w:type="auto"/>
            <w:hideMark/>
          </w:tcPr>
          <w:p w:rsidR="00BE0F3C" w:rsidRPr="00801138" w:rsidRDefault="00BE0F3C" w:rsidP="00BE0F3C">
            <w:pPr>
              <w:spacing w:after="160"/>
              <w:jc w:val="both"/>
              <w:rPr>
                <w:rFonts w:asciiTheme="majorHAnsi" w:hAnsiTheme="majorHAnsi" w:cs="Times New Roman"/>
                <w:sz w:val="22"/>
                <w:szCs w:val="22"/>
              </w:rPr>
            </w:pPr>
          </w:p>
        </w:tc>
        <w:tc>
          <w:tcPr>
            <w:tcW w:w="0" w:type="auto"/>
            <w:hideMark/>
          </w:tcPr>
          <w:p w:rsidR="00BE0F3C" w:rsidRPr="00801138" w:rsidRDefault="00BE0F3C" w:rsidP="00BE0F3C">
            <w:pPr>
              <w:spacing w:after="160"/>
              <w:jc w:val="both"/>
              <w:rPr>
                <w:rFonts w:asciiTheme="majorHAnsi" w:hAnsiTheme="majorHAnsi" w:cs="Times New Roman"/>
                <w:sz w:val="22"/>
                <w:szCs w:val="22"/>
              </w:rPr>
            </w:pPr>
          </w:p>
        </w:tc>
      </w:tr>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Q1 (&lt;$10K)</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$4.80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$7.20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-$2.40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25%</w:t>
            </w:r>
          </w:p>
        </w:tc>
      </w:tr>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Q2 ($10-20K)</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$4.30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$6.10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-$1.80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25%</w:t>
            </w:r>
          </w:p>
        </w:tc>
      </w:tr>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Q3 ($20-40K)</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$4.00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$5.50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-$1.50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25%</w:t>
            </w:r>
          </w:p>
        </w:tc>
      </w:tr>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Q4 (&gt;$40K)</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$3.50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$4.90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-$1.40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25%</w:t>
            </w:r>
          </w:p>
        </w:tc>
      </w:tr>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Primary vs. Supplemental:</w:t>
            </w:r>
          </w:p>
        </w:tc>
        <w:tc>
          <w:tcPr>
            <w:tcW w:w="0" w:type="auto"/>
            <w:hideMark/>
          </w:tcPr>
          <w:p w:rsidR="00BE0F3C" w:rsidRPr="00801138" w:rsidRDefault="00BE0F3C" w:rsidP="00BE0F3C">
            <w:pPr>
              <w:spacing w:after="160"/>
              <w:jc w:val="both"/>
              <w:rPr>
                <w:rFonts w:asciiTheme="majorHAnsi" w:hAnsiTheme="majorHAnsi" w:cs="Times New Roman"/>
                <w:sz w:val="22"/>
                <w:szCs w:val="22"/>
              </w:rPr>
            </w:pPr>
          </w:p>
        </w:tc>
        <w:tc>
          <w:tcPr>
            <w:tcW w:w="0" w:type="auto"/>
            <w:hideMark/>
          </w:tcPr>
          <w:p w:rsidR="00BE0F3C" w:rsidRPr="00801138" w:rsidRDefault="00BE0F3C" w:rsidP="00BE0F3C">
            <w:pPr>
              <w:spacing w:after="160"/>
              <w:jc w:val="both"/>
              <w:rPr>
                <w:rFonts w:asciiTheme="majorHAnsi" w:hAnsiTheme="majorHAnsi" w:cs="Times New Roman"/>
                <w:sz w:val="22"/>
                <w:szCs w:val="22"/>
              </w:rPr>
            </w:pPr>
          </w:p>
        </w:tc>
        <w:tc>
          <w:tcPr>
            <w:tcW w:w="0" w:type="auto"/>
            <w:hideMark/>
          </w:tcPr>
          <w:p w:rsidR="00BE0F3C" w:rsidRPr="00801138" w:rsidRDefault="00BE0F3C" w:rsidP="00BE0F3C">
            <w:pPr>
              <w:spacing w:after="160"/>
              <w:jc w:val="both"/>
              <w:rPr>
                <w:rFonts w:asciiTheme="majorHAnsi" w:hAnsiTheme="majorHAnsi" w:cs="Times New Roman"/>
                <w:sz w:val="22"/>
                <w:szCs w:val="22"/>
              </w:rPr>
            </w:pPr>
          </w:p>
        </w:tc>
        <w:tc>
          <w:tcPr>
            <w:tcW w:w="0" w:type="auto"/>
            <w:hideMark/>
          </w:tcPr>
          <w:p w:rsidR="00BE0F3C" w:rsidRPr="00801138" w:rsidRDefault="00BE0F3C" w:rsidP="00BE0F3C">
            <w:pPr>
              <w:spacing w:after="160"/>
              <w:jc w:val="both"/>
              <w:rPr>
                <w:rFonts w:asciiTheme="majorHAnsi" w:hAnsiTheme="majorHAnsi" w:cs="Times New Roman"/>
                <w:sz w:val="22"/>
                <w:szCs w:val="22"/>
              </w:rPr>
            </w:pPr>
          </w:p>
        </w:tc>
      </w:tr>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Primary income (≥50% earnings)</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$4.00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$6.20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-$2.20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38%</w:t>
            </w:r>
          </w:p>
        </w:tc>
      </w:tr>
      <w:tr w:rsidR="00BE0F3C" w:rsidRPr="00801138" w:rsidTr="00A228AD">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Supplemental (&lt;50% earnings)</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$4.40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$5.50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-$1.10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62%</w:t>
            </w:r>
          </w:p>
        </w:tc>
      </w:tr>
    </w:tbl>
    <w:p w:rsidR="00BE0F3C" w:rsidRPr="00801138" w:rsidRDefault="00BE0F3C" w:rsidP="00BE0F3C">
      <w:pPr>
        <w:spacing w:line="240" w:lineRule="auto"/>
        <w:jc w:val="both"/>
        <w:rPr>
          <w:rFonts w:asciiTheme="majorHAnsi" w:hAnsiTheme="majorHAnsi" w:cs="Times New Roman"/>
          <w:b/>
          <w:bCs/>
        </w:rPr>
      </w:pP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b/>
          <w:bCs/>
        </w:rPr>
        <w:t>Key Findings: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xml:space="preserve">Platform Stratification: The </w:t>
      </w:r>
      <w:proofErr w:type="spellStart"/>
      <w:r w:rsidRPr="00801138">
        <w:rPr>
          <w:rFonts w:asciiTheme="majorHAnsi" w:hAnsiTheme="majorHAnsi" w:cs="Times New Roman"/>
        </w:rPr>
        <w:t>Upwork</w:t>
      </w:r>
      <w:proofErr w:type="spellEnd"/>
      <w:r w:rsidRPr="00801138">
        <w:rPr>
          <w:rFonts w:asciiTheme="majorHAnsi" w:hAnsiTheme="majorHAnsi" w:cs="Times New Roman"/>
        </w:rPr>
        <w:t xml:space="preserve"> freelancers have net positive returns </w:t>
      </w:r>
      <w:proofErr w:type="gramStart"/>
      <w:r w:rsidRPr="00801138">
        <w:rPr>
          <w:rFonts w:asciiTheme="majorHAnsi" w:hAnsiTheme="majorHAnsi" w:cs="Times New Roman"/>
        </w:rPr>
        <w:t>( +</w:t>
      </w:r>
      <w:proofErr w:type="gramEnd"/>
      <w:r w:rsidRPr="00801138">
        <w:rPr>
          <w:rFonts w:asciiTheme="majorHAnsi" w:hAnsiTheme="majorHAnsi" w:cs="Times New Roman"/>
        </w:rPr>
        <w:t xml:space="preserve"> ) since high skills (38.50/hour wage) decrease the </w:t>
      </w:r>
      <w:proofErr w:type="spellStart"/>
      <w:r w:rsidRPr="00801138">
        <w:rPr>
          <w:rFonts w:asciiTheme="majorHAnsi" w:hAnsiTheme="majorHAnsi" w:cs="Times New Roman"/>
        </w:rPr>
        <w:t>precarity</w:t>
      </w:r>
      <w:proofErr w:type="spellEnd"/>
      <w:r w:rsidRPr="00801138">
        <w:rPr>
          <w:rFonts w:asciiTheme="majorHAnsi" w:hAnsiTheme="majorHAnsi" w:cs="Times New Roman"/>
        </w:rPr>
        <w:t xml:space="preserve"> cost in a line with them. The workers in the transport industry lose -1.90/hour net loss because of poor wages that increase the gap between benefits.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xml:space="preserve">Age Gradient: The younger workers encounter greater net losses (-2.40/hour) due to paying age-based health insurance and having more years to retirement. The value of workers 55+ is best understood as </w:t>
      </w:r>
      <w:proofErr w:type="gramStart"/>
      <w:r w:rsidRPr="00801138">
        <w:rPr>
          <w:rFonts w:asciiTheme="majorHAnsi" w:hAnsiTheme="majorHAnsi" w:cs="Times New Roman"/>
        </w:rPr>
        <w:t>an attenuation</w:t>
      </w:r>
      <w:proofErr w:type="gramEnd"/>
      <w:r w:rsidRPr="00801138">
        <w:rPr>
          <w:rFonts w:asciiTheme="majorHAnsi" w:hAnsiTheme="majorHAnsi" w:cs="Times New Roman"/>
        </w:rPr>
        <w:t xml:space="preserve"> of -</w:t>
      </w:r>
      <w:r w:rsidRPr="00801138">
        <w:rPr>
          <w:rFonts w:asciiTheme="majorHAnsi" w:hAnsiTheme="majorHAnsi" w:cs="Times New Roman"/>
        </w:rPr>
        <w:lastRenderedPageBreak/>
        <w:t xml:space="preserve">0.80/hours because of the heath costs because Medicare eligibility increases their health costs, and their main </w:t>
      </w:r>
      <w:proofErr w:type="spellStart"/>
      <w:r w:rsidRPr="00801138">
        <w:rPr>
          <w:rFonts w:asciiTheme="majorHAnsi" w:hAnsiTheme="majorHAnsi" w:cs="Times New Roman"/>
        </w:rPr>
        <w:t>precarity</w:t>
      </w:r>
      <w:proofErr w:type="spellEnd"/>
      <w:r w:rsidRPr="00801138">
        <w:rPr>
          <w:rFonts w:asciiTheme="majorHAnsi" w:hAnsiTheme="majorHAnsi" w:cs="Times New Roman"/>
        </w:rPr>
        <w:t xml:space="preserve"> is their retirement gap.</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xml:space="preserve">Income Effect: On the contrary, lowest earners lose the most even though the valuation of flexibility increases. They are unable to afford their own insurance or retirement plan and are thus in the position of being uninsured and having no savings. This brings a poverty trap: </w:t>
      </w:r>
      <w:proofErr w:type="spellStart"/>
      <w:proofErr w:type="gramStart"/>
      <w:r w:rsidRPr="00801138">
        <w:rPr>
          <w:rFonts w:asciiTheme="majorHAnsi" w:hAnsiTheme="majorHAnsi" w:cs="Times New Roman"/>
        </w:rPr>
        <w:t>precarity</w:t>
      </w:r>
      <w:proofErr w:type="spellEnd"/>
      <w:r w:rsidRPr="00801138">
        <w:rPr>
          <w:rFonts w:asciiTheme="majorHAnsi" w:hAnsiTheme="majorHAnsi" w:cs="Times New Roman"/>
        </w:rPr>
        <w:t xml:space="preserve"> expenses becomes</w:t>
      </w:r>
      <w:proofErr w:type="gramEnd"/>
      <w:r w:rsidRPr="00801138">
        <w:rPr>
          <w:rFonts w:asciiTheme="majorHAnsi" w:hAnsiTheme="majorHAnsi" w:cs="Times New Roman"/>
        </w:rPr>
        <w:t xml:space="preserve"> 30 percent of income, and it will be impossible to invest in skills or benefits.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Primary vs. Supplemental: The net loss by workers earning through gig work as their main income is -2.20/hours, 2 times higher than that of workers earning through gig work as supplemental income. Gig work is not always survival employment, as supplemental workers usually have primary W-2 employment where they are offered benefits.</w:t>
      </w:r>
    </w:p>
    <w:p w:rsidR="00BE0F3C" w:rsidRPr="00801138" w:rsidRDefault="00BE0F3C" w:rsidP="00BE0F3C">
      <w:pPr>
        <w:spacing w:line="240" w:lineRule="auto"/>
        <w:jc w:val="both"/>
        <w:rPr>
          <w:rFonts w:asciiTheme="majorHAnsi" w:hAnsiTheme="majorHAnsi" w:cs="Times New Roman"/>
          <w:b/>
          <w:bCs/>
        </w:rPr>
      </w:pPr>
    </w:p>
    <w:p w:rsidR="00BE0F3C" w:rsidRPr="00801138" w:rsidRDefault="00BE0F3C" w:rsidP="00BE0F3C">
      <w:pPr>
        <w:spacing w:line="240" w:lineRule="auto"/>
        <w:jc w:val="both"/>
        <w:rPr>
          <w:rFonts w:asciiTheme="majorHAnsi" w:hAnsiTheme="majorHAnsi" w:cs="Times New Roman"/>
          <w:b/>
          <w:bCs/>
        </w:rPr>
      </w:pP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b/>
          <w:bCs/>
        </w:rPr>
        <w:t>Table 5: OLS Regression (Dependent Variable: Net Hourly Welfare)</w:t>
      </w:r>
    </w:p>
    <w:tbl>
      <w:tblPr>
        <w:tblStyle w:val="TableGrid"/>
        <w:tblW w:w="9320" w:type="dxa"/>
        <w:tblLook w:val="04A0" w:firstRow="1" w:lastRow="0" w:firstColumn="1" w:lastColumn="0" w:noHBand="0" w:noVBand="1"/>
      </w:tblPr>
      <w:tblGrid>
        <w:gridCol w:w="4270"/>
        <w:gridCol w:w="1896"/>
        <w:gridCol w:w="1740"/>
        <w:gridCol w:w="1414"/>
      </w:tblGrid>
      <w:tr w:rsidR="00BE0F3C" w:rsidRPr="00801138" w:rsidTr="00A228AD">
        <w:trPr>
          <w:trHeight w:val="544"/>
        </w:trPr>
        <w:tc>
          <w:tcPr>
            <w:tcW w:w="0" w:type="auto"/>
            <w:hideMark/>
          </w:tcPr>
          <w:p w:rsidR="00BE0F3C" w:rsidRPr="00801138" w:rsidRDefault="00BE0F3C" w:rsidP="00BE0F3C">
            <w:pPr>
              <w:spacing w:after="160"/>
              <w:jc w:val="both"/>
              <w:rPr>
                <w:rFonts w:asciiTheme="majorHAnsi" w:hAnsiTheme="majorHAnsi" w:cs="Times New Roman"/>
                <w:b/>
                <w:bCs/>
                <w:sz w:val="22"/>
                <w:szCs w:val="22"/>
              </w:rPr>
            </w:pPr>
            <w:r w:rsidRPr="00801138">
              <w:rPr>
                <w:rFonts w:asciiTheme="majorHAnsi" w:hAnsiTheme="majorHAnsi" w:cs="Times New Roman"/>
                <w:b/>
                <w:bCs/>
                <w:sz w:val="22"/>
                <w:szCs w:val="22"/>
              </w:rPr>
              <w:t>Variable</w:t>
            </w:r>
          </w:p>
        </w:tc>
        <w:tc>
          <w:tcPr>
            <w:tcW w:w="0" w:type="auto"/>
            <w:hideMark/>
          </w:tcPr>
          <w:p w:rsidR="00BE0F3C" w:rsidRPr="00801138" w:rsidRDefault="00BE0F3C" w:rsidP="00BE0F3C">
            <w:pPr>
              <w:spacing w:after="160"/>
              <w:jc w:val="both"/>
              <w:rPr>
                <w:rFonts w:asciiTheme="majorHAnsi" w:hAnsiTheme="majorHAnsi" w:cs="Times New Roman"/>
                <w:b/>
                <w:bCs/>
                <w:sz w:val="22"/>
                <w:szCs w:val="22"/>
              </w:rPr>
            </w:pPr>
            <w:r w:rsidRPr="00801138">
              <w:rPr>
                <w:rFonts w:asciiTheme="majorHAnsi" w:hAnsiTheme="majorHAnsi" w:cs="Times New Roman"/>
                <w:b/>
                <w:bCs/>
                <w:sz w:val="22"/>
                <w:szCs w:val="22"/>
              </w:rPr>
              <w:t>Coefficient</w:t>
            </w:r>
          </w:p>
        </w:tc>
        <w:tc>
          <w:tcPr>
            <w:tcW w:w="0" w:type="auto"/>
            <w:hideMark/>
          </w:tcPr>
          <w:p w:rsidR="00BE0F3C" w:rsidRPr="00801138" w:rsidRDefault="00BE0F3C" w:rsidP="00BE0F3C">
            <w:pPr>
              <w:spacing w:after="160"/>
              <w:jc w:val="both"/>
              <w:rPr>
                <w:rFonts w:asciiTheme="majorHAnsi" w:hAnsiTheme="majorHAnsi" w:cs="Times New Roman"/>
                <w:b/>
                <w:bCs/>
                <w:sz w:val="22"/>
                <w:szCs w:val="22"/>
              </w:rPr>
            </w:pPr>
            <w:r w:rsidRPr="00801138">
              <w:rPr>
                <w:rFonts w:asciiTheme="majorHAnsi" w:hAnsiTheme="majorHAnsi" w:cs="Times New Roman"/>
                <w:b/>
                <w:bCs/>
                <w:sz w:val="22"/>
                <w:szCs w:val="22"/>
              </w:rPr>
              <w:t>Std. Error</w:t>
            </w:r>
          </w:p>
        </w:tc>
        <w:tc>
          <w:tcPr>
            <w:tcW w:w="0" w:type="auto"/>
            <w:hideMark/>
          </w:tcPr>
          <w:p w:rsidR="00BE0F3C" w:rsidRPr="00801138" w:rsidRDefault="00BE0F3C" w:rsidP="00BE0F3C">
            <w:pPr>
              <w:spacing w:after="160"/>
              <w:jc w:val="both"/>
              <w:rPr>
                <w:rFonts w:asciiTheme="majorHAnsi" w:hAnsiTheme="majorHAnsi" w:cs="Times New Roman"/>
                <w:b/>
                <w:bCs/>
                <w:sz w:val="22"/>
                <w:szCs w:val="22"/>
              </w:rPr>
            </w:pPr>
            <w:r w:rsidRPr="00801138">
              <w:rPr>
                <w:rFonts w:asciiTheme="majorHAnsi" w:hAnsiTheme="majorHAnsi" w:cs="Times New Roman"/>
                <w:b/>
                <w:bCs/>
                <w:sz w:val="22"/>
                <w:szCs w:val="22"/>
              </w:rPr>
              <w:t>p-value</w:t>
            </w:r>
          </w:p>
        </w:tc>
      </w:tr>
      <w:tr w:rsidR="00BE0F3C" w:rsidRPr="00801138" w:rsidTr="00A228AD">
        <w:trPr>
          <w:trHeight w:val="544"/>
        </w:trPr>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Flexibility premium (WTA)</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0.82***</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0.08</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&lt;0.001</w:t>
            </w:r>
          </w:p>
        </w:tc>
      </w:tr>
      <w:tr w:rsidR="00BE0F3C" w:rsidRPr="00801138" w:rsidTr="00A228AD">
        <w:trPr>
          <w:trHeight w:val="544"/>
        </w:trPr>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Log(annual earnings)</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1.15***</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0.12</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&lt;0.001</w:t>
            </w:r>
          </w:p>
        </w:tc>
      </w:tr>
      <w:tr w:rsidR="00BE0F3C" w:rsidRPr="00801138" w:rsidTr="00A228AD">
        <w:trPr>
          <w:trHeight w:val="544"/>
        </w:trPr>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Age</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0.06***</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0.01</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&lt;0.001</w:t>
            </w:r>
          </w:p>
        </w:tc>
      </w:tr>
      <w:tr w:rsidR="00BE0F3C" w:rsidRPr="00801138" w:rsidTr="00A228AD">
        <w:trPr>
          <w:trHeight w:val="544"/>
        </w:trPr>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Has college degree</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1.20***</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0.21</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&lt;0.001</w:t>
            </w:r>
          </w:p>
        </w:tc>
      </w:tr>
      <w:tr w:rsidR="00BE0F3C" w:rsidRPr="00801138" w:rsidTr="00A228AD">
        <w:trPr>
          <w:trHeight w:val="544"/>
        </w:trPr>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Primary caregiver</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-0.45*</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0.24</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0.062</w:t>
            </w:r>
          </w:p>
        </w:tc>
      </w:tr>
      <w:tr w:rsidR="00BE0F3C" w:rsidRPr="00801138" w:rsidTr="00A228AD">
        <w:trPr>
          <w:trHeight w:val="544"/>
        </w:trPr>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Constant</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-12.3***</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1.45</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&lt;0.001</w:t>
            </w:r>
          </w:p>
        </w:tc>
      </w:tr>
      <w:tr w:rsidR="00BE0F3C" w:rsidRPr="00801138" w:rsidTr="00A228AD">
        <w:trPr>
          <w:trHeight w:val="544"/>
        </w:trPr>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R-squared</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0.68</w:t>
            </w:r>
          </w:p>
        </w:tc>
        <w:tc>
          <w:tcPr>
            <w:tcW w:w="0" w:type="auto"/>
            <w:hideMark/>
          </w:tcPr>
          <w:p w:rsidR="00BE0F3C" w:rsidRPr="00801138" w:rsidRDefault="00BE0F3C" w:rsidP="00BE0F3C">
            <w:pPr>
              <w:spacing w:after="160"/>
              <w:jc w:val="both"/>
              <w:rPr>
                <w:rFonts w:asciiTheme="majorHAnsi" w:hAnsiTheme="majorHAnsi" w:cs="Times New Roman"/>
                <w:sz w:val="22"/>
                <w:szCs w:val="22"/>
              </w:rPr>
            </w:pPr>
          </w:p>
        </w:tc>
        <w:tc>
          <w:tcPr>
            <w:tcW w:w="0" w:type="auto"/>
            <w:hideMark/>
          </w:tcPr>
          <w:p w:rsidR="00BE0F3C" w:rsidRPr="00801138" w:rsidRDefault="00BE0F3C" w:rsidP="00BE0F3C">
            <w:pPr>
              <w:spacing w:after="160"/>
              <w:jc w:val="both"/>
              <w:rPr>
                <w:rFonts w:asciiTheme="majorHAnsi" w:hAnsiTheme="majorHAnsi" w:cs="Times New Roman"/>
                <w:sz w:val="22"/>
                <w:szCs w:val="22"/>
              </w:rPr>
            </w:pPr>
          </w:p>
        </w:tc>
      </w:tr>
      <w:tr w:rsidR="00BE0F3C" w:rsidRPr="00801138" w:rsidTr="00A228AD">
        <w:trPr>
          <w:trHeight w:val="544"/>
        </w:trPr>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b/>
                <w:bCs/>
                <w:sz w:val="22"/>
                <w:szCs w:val="22"/>
              </w:rPr>
              <w:t>Observations</w:t>
            </w:r>
          </w:p>
        </w:tc>
        <w:tc>
          <w:tcPr>
            <w:tcW w:w="0" w:type="auto"/>
            <w:hideMark/>
          </w:tcPr>
          <w:p w:rsidR="00BE0F3C" w:rsidRPr="00801138" w:rsidRDefault="00BE0F3C" w:rsidP="00BE0F3C">
            <w:pPr>
              <w:spacing w:after="160"/>
              <w:jc w:val="both"/>
              <w:rPr>
                <w:rFonts w:asciiTheme="majorHAnsi" w:hAnsiTheme="majorHAnsi" w:cs="Times New Roman"/>
                <w:sz w:val="22"/>
                <w:szCs w:val="22"/>
              </w:rPr>
            </w:pPr>
            <w:r w:rsidRPr="00801138">
              <w:rPr>
                <w:rFonts w:asciiTheme="majorHAnsi" w:hAnsiTheme="majorHAnsi" w:cs="Times New Roman"/>
                <w:sz w:val="22"/>
                <w:szCs w:val="22"/>
              </w:rPr>
              <w:t>10,000</w:t>
            </w:r>
          </w:p>
        </w:tc>
        <w:tc>
          <w:tcPr>
            <w:tcW w:w="0" w:type="auto"/>
            <w:hideMark/>
          </w:tcPr>
          <w:p w:rsidR="00BE0F3C" w:rsidRPr="00801138" w:rsidRDefault="00BE0F3C" w:rsidP="00BE0F3C">
            <w:pPr>
              <w:spacing w:after="160"/>
              <w:jc w:val="both"/>
              <w:rPr>
                <w:rFonts w:asciiTheme="majorHAnsi" w:hAnsiTheme="majorHAnsi" w:cs="Times New Roman"/>
                <w:sz w:val="22"/>
                <w:szCs w:val="22"/>
              </w:rPr>
            </w:pPr>
          </w:p>
        </w:tc>
        <w:tc>
          <w:tcPr>
            <w:tcW w:w="0" w:type="auto"/>
            <w:hideMark/>
          </w:tcPr>
          <w:p w:rsidR="00BE0F3C" w:rsidRPr="00801138" w:rsidRDefault="00BE0F3C" w:rsidP="00BE0F3C">
            <w:pPr>
              <w:spacing w:after="160"/>
              <w:jc w:val="both"/>
              <w:rPr>
                <w:rFonts w:asciiTheme="majorHAnsi" w:hAnsiTheme="majorHAnsi" w:cs="Times New Roman"/>
                <w:sz w:val="22"/>
                <w:szCs w:val="22"/>
              </w:rPr>
            </w:pPr>
          </w:p>
        </w:tc>
      </w:tr>
    </w:tbl>
    <w:p w:rsidR="00BE0F3C" w:rsidRPr="00801138" w:rsidRDefault="00BE0F3C" w:rsidP="00BE0F3C">
      <w:pPr>
        <w:spacing w:line="240" w:lineRule="auto"/>
        <w:jc w:val="both"/>
        <w:rPr>
          <w:rFonts w:asciiTheme="majorHAnsi" w:hAnsiTheme="majorHAnsi" w:cs="Times New Roman"/>
          <w:b/>
          <w:bCs/>
        </w:rPr>
      </w:pP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b/>
          <w:bCs/>
        </w:rPr>
        <w:t xml:space="preserve">Interpretation: </w:t>
      </w:r>
      <w:r w:rsidRPr="00801138">
        <w:rPr>
          <w:rFonts w:asciiTheme="majorHAnsi" w:hAnsiTheme="majorHAnsi" w:cs="Times New Roman"/>
        </w:rPr>
        <w:t xml:space="preserve">An increment of flexibility valuation by a one dollar will increase net welfare by </w:t>
      </w:r>
      <w:proofErr w:type="gramStart"/>
      <w:r w:rsidRPr="00801138">
        <w:rPr>
          <w:rFonts w:asciiTheme="majorHAnsi" w:hAnsiTheme="majorHAnsi" w:cs="Times New Roman"/>
        </w:rPr>
        <w:t>0.82,</w:t>
      </w:r>
      <w:proofErr w:type="gramEnd"/>
      <w:r w:rsidRPr="00801138">
        <w:rPr>
          <w:rFonts w:asciiTheme="majorHAnsi" w:hAnsiTheme="majorHAnsi" w:cs="Times New Roman"/>
        </w:rPr>
        <w:t xml:space="preserve"> however, earnings and education prevail. College degree provides a benefit of $1.20/hour in the form of increased minimum wages cutting cost share of </w:t>
      </w:r>
      <w:proofErr w:type="spellStart"/>
      <w:r w:rsidRPr="00801138">
        <w:rPr>
          <w:rFonts w:asciiTheme="majorHAnsi" w:hAnsiTheme="majorHAnsi" w:cs="Times New Roman"/>
        </w:rPr>
        <w:t>precarity</w:t>
      </w:r>
      <w:proofErr w:type="spellEnd"/>
      <w:r w:rsidRPr="00801138">
        <w:rPr>
          <w:rFonts w:asciiTheme="majorHAnsi" w:hAnsiTheme="majorHAnsi" w:cs="Times New Roman"/>
        </w:rPr>
        <w:t>. Flexibility imposes -$0.45/hour penalty on caregivers as it makes them accept lower paying gigs.</w:t>
      </w:r>
    </w:p>
    <w:p w:rsidR="00BE0F3C" w:rsidRPr="00801138" w:rsidRDefault="00BE0F3C" w:rsidP="00BE0F3C">
      <w:pPr>
        <w:spacing w:line="240" w:lineRule="auto"/>
        <w:jc w:val="both"/>
        <w:rPr>
          <w:rFonts w:asciiTheme="majorHAnsi" w:hAnsiTheme="majorHAnsi" w:cs="Times New Roman"/>
          <w:b/>
          <w:bCs/>
        </w:rPr>
      </w:pPr>
      <w:r w:rsidRPr="00801138">
        <w:rPr>
          <w:rFonts w:asciiTheme="majorHAnsi" w:hAnsiTheme="majorHAnsi" w:cs="Times New Roman"/>
          <w:b/>
          <w:bCs/>
        </w:rPr>
        <w:t>DISCUSSION</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Systematic miscalculations to welfare Survey data indicate that 72 percent of workers who had less than 1 year experience in gigs overestimated the value of flexibility by 40-60 percent compared to revealed preference estimates. This overvaluation deteriorates according to a learning curve: after 2+ years there is a match of perceptions with reality.</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Anchoring Mechanism: The site features prominently gross earnings (25/hour) and buries the costs and benefit costs in the fine print. Employees take the gross less 15 percent in taxes, no health insurance (2.80/</w:t>
      </w:r>
      <w:proofErr w:type="spellStart"/>
      <w:r w:rsidRPr="00801138">
        <w:rPr>
          <w:rFonts w:asciiTheme="majorHAnsi" w:hAnsiTheme="majorHAnsi" w:cs="Times New Roman"/>
        </w:rPr>
        <w:t>hr</w:t>
      </w:r>
      <w:proofErr w:type="spellEnd"/>
      <w:r w:rsidRPr="00801138">
        <w:rPr>
          <w:rFonts w:asciiTheme="majorHAnsi" w:hAnsiTheme="majorHAnsi" w:cs="Times New Roman"/>
        </w:rPr>
        <w:t xml:space="preserve">), no </w:t>
      </w:r>
      <w:r w:rsidRPr="00801138">
        <w:rPr>
          <w:rFonts w:asciiTheme="majorHAnsi" w:hAnsiTheme="majorHAnsi" w:cs="Times New Roman"/>
        </w:rPr>
        <w:lastRenderedPageBreak/>
        <w:t>retirement (1.45/</w:t>
      </w:r>
      <w:proofErr w:type="spellStart"/>
      <w:r w:rsidRPr="00801138">
        <w:rPr>
          <w:rFonts w:asciiTheme="majorHAnsi" w:hAnsiTheme="majorHAnsi" w:cs="Times New Roman"/>
        </w:rPr>
        <w:t>hr</w:t>
      </w:r>
      <w:proofErr w:type="spellEnd"/>
      <w:r w:rsidRPr="00801138">
        <w:rPr>
          <w:rFonts w:asciiTheme="majorHAnsi" w:hAnsiTheme="majorHAnsi" w:cs="Times New Roman"/>
        </w:rPr>
        <w:t>) and no volatility risk (0.40/</w:t>
      </w:r>
      <w:proofErr w:type="spellStart"/>
      <w:r w:rsidRPr="00801138">
        <w:rPr>
          <w:rFonts w:asciiTheme="majorHAnsi" w:hAnsiTheme="majorHAnsi" w:cs="Times New Roman"/>
        </w:rPr>
        <w:t>hr</w:t>
      </w:r>
      <w:proofErr w:type="spellEnd"/>
      <w:r w:rsidRPr="00801138">
        <w:rPr>
          <w:rFonts w:asciiTheme="majorHAnsi" w:hAnsiTheme="majorHAnsi" w:cs="Times New Roman"/>
        </w:rPr>
        <w:t>). It results in ex post regret: 34% of the workers say they would not have become gig workers had they known actual net earnings.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Rational Addiction to Flexibility: Ironically, despite becoming aware of actual costs, half of the workers continue to stay in the gig work because they need to care or are restricted by their health or because they do not have access to traditional employment. Flexibility is a rationed commodity: a good, but undercompensated.</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The 80/20 Rule: We find that 20 percent of all gig workers (most of whom are high-skill freelancers) earn 65 percent of net welfare gains, and 80 percent suffer net losses. This polarization reflects the general trends in inequality in the labor market.</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xml:space="preserve">Racial Inequality: Black and Latino gig workers incur -/hour extra </w:t>
      </w:r>
      <w:proofErr w:type="spellStart"/>
      <w:r w:rsidRPr="00801138">
        <w:rPr>
          <w:rFonts w:asciiTheme="majorHAnsi" w:hAnsiTheme="majorHAnsi" w:cs="Times New Roman"/>
        </w:rPr>
        <w:t>precarity</w:t>
      </w:r>
      <w:proofErr w:type="spellEnd"/>
      <w:r w:rsidRPr="00801138">
        <w:rPr>
          <w:rFonts w:asciiTheme="majorHAnsi" w:hAnsiTheme="majorHAnsi" w:cs="Times New Roman"/>
        </w:rPr>
        <w:t xml:space="preserve"> penalty because of:</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w:t>
      </w:r>
      <w:r w:rsidRPr="00801138">
        <w:rPr>
          <w:rFonts w:asciiTheme="majorHAnsi" w:hAnsiTheme="majorHAnsi" w:cs="Times New Roman"/>
        </w:rPr>
        <w:tab/>
        <w:t xml:space="preserve">Increased rates of </w:t>
      </w:r>
      <w:proofErr w:type="spellStart"/>
      <w:r w:rsidRPr="00801138">
        <w:rPr>
          <w:rFonts w:asciiTheme="majorHAnsi" w:hAnsiTheme="majorHAnsi" w:cs="Times New Roman"/>
        </w:rPr>
        <w:t>uninsurance</w:t>
      </w:r>
      <w:proofErr w:type="spellEnd"/>
      <w:r w:rsidRPr="00801138">
        <w:rPr>
          <w:rFonts w:asciiTheme="majorHAnsi" w:hAnsiTheme="majorHAnsi" w:cs="Times New Roman"/>
        </w:rPr>
        <w:t>: 31% vs. 22% white employees.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w:t>
      </w:r>
      <w:r w:rsidRPr="00801138">
        <w:rPr>
          <w:rFonts w:asciiTheme="majorHAnsi" w:hAnsiTheme="majorHAnsi" w:cs="Times New Roman"/>
        </w:rPr>
        <w:tab/>
        <w:t>Decreased asset buffers: Median savings $1,200 vs. 5,400 augmented volatility risk premium.</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w:t>
      </w:r>
      <w:r w:rsidRPr="00801138">
        <w:rPr>
          <w:rFonts w:asciiTheme="majorHAnsi" w:hAnsiTheme="majorHAnsi" w:cs="Times New Roman"/>
        </w:rPr>
        <w:tab/>
        <w:t>Algorithms discrimination: Research demonstrates that minority drivers have more wait and lower ratings, which decrease effective earnings.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xml:space="preserve">Gender Dynamics: Female gig workers not only appreciate flexibility more (median $5.60/hour versus $3.80 in the case of men) because of the </w:t>
      </w:r>
      <w:proofErr w:type="spellStart"/>
      <w:r w:rsidRPr="00801138">
        <w:rPr>
          <w:rFonts w:asciiTheme="majorHAnsi" w:hAnsiTheme="majorHAnsi" w:cs="Times New Roman"/>
        </w:rPr>
        <w:t>uneproportional</w:t>
      </w:r>
      <w:proofErr w:type="spellEnd"/>
      <w:r w:rsidRPr="00801138">
        <w:rPr>
          <w:rFonts w:asciiTheme="majorHAnsi" w:hAnsiTheme="majorHAnsi" w:cs="Times New Roman"/>
        </w:rPr>
        <w:t xml:space="preserve"> caregiving load but also earn lower per hour (15.20 versus 18.40) since of platform segmentation (women concentrated in lower-paid task work). Natural outcome: women lose -2.10/hour as compared to 1.20 by men.</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xml:space="preserve">Proposition 22 offers benefits amounting to 3.80/ hour but leaves a gap of 2.00/ hour. In our simulation, contributing platform revenue of 6.5% of earnings eliminates 90% of </w:t>
      </w:r>
      <w:proofErr w:type="spellStart"/>
      <w:r w:rsidRPr="00801138">
        <w:rPr>
          <w:rFonts w:asciiTheme="majorHAnsi" w:hAnsiTheme="majorHAnsi" w:cs="Times New Roman"/>
        </w:rPr>
        <w:t>precarity</w:t>
      </w:r>
      <w:proofErr w:type="spellEnd"/>
      <w:r w:rsidRPr="00801138">
        <w:rPr>
          <w:rFonts w:asciiTheme="majorHAnsi" w:hAnsiTheme="majorHAnsi" w:cs="Times New Roman"/>
        </w:rPr>
        <w:t xml:space="preserve"> costs and retains the flexibility.</w:t>
      </w:r>
    </w:p>
    <w:p w:rsidR="00BE0F3C" w:rsidRPr="00801138" w:rsidRDefault="00BE0F3C" w:rsidP="00BE0F3C">
      <w:pPr>
        <w:spacing w:line="240" w:lineRule="auto"/>
        <w:jc w:val="both"/>
        <w:rPr>
          <w:rFonts w:asciiTheme="majorHAnsi" w:hAnsiTheme="majorHAnsi" w:cs="Times New Roman"/>
        </w:rPr>
      </w:pPr>
      <w:proofErr w:type="gramStart"/>
      <w:r w:rsidRPr="00801138">
        <w:rPr>
          <w:rFonts w:asciiTheme="majorHAnsi" w:hAnsiTheme="majorHAnsi" w:cs="Times New Roman"/>
        </w:rPr>
        <w:t>State portable benefits (Utah, Tennessee) is</w:t>
      </w:r>
      <w:proofErr w:type="gramEnd"/>
      <w:r w:rsidRPr="00801138">
        <w:rPr>
          <w:rFonts w:asciiTheme="majorHAnsi" w:hAnsiTheme="majorHAnsi" w:cs="Times New Roman"/>
        </w:rPr>
        <w:t xml:space="preserve"> voluntary and has low participation (estimated 12% participation) because of platform avoidance. The requirement to join workers who work over 40 hours/month absorbs three-quarters of primary gig workers.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Hours threshold: Employees that work less than 40 hours/month (58% of sample) have a net loss of almost zero (-$0.80/hour) since the amortization of benefits is reduced by the hours worked; the regulation can spare these employees without welfare loss.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w:t>
      </w:r>
      <w:r w:rsidRPr="00801138">
        <w:rPr>
          <w:rFonts w:asciiTheme="majorHAnsi" w:hAnsiTheme="majorHAnsi" w:cs="Times New Roman"/>
        </w:rPr>
        <w:tab/>
        <w:t xml:space="preserve">Earnings floor: Workers with less than 15/hour income pay </w:t>
      </w:r>
      <w:proofErr w:type="spellStart"/>
      <w:r w:rsidRPr="00801138">
        <w:rPr>
          <w:rFonts w:asciiTheme="majorHAnsi" w:hAnsiTheme="majorHAnsi" w:cs="Times New Roman"/>
        </w:rPr>
        <w:t>precarity</w:t>
      </w:r>
      <w:proofErr w:type="spellEnd"/>
      <w:r w:rsidRPr="00801138">
        <w:rPr>
          <w:rFonts w:asciiTheme="majorHAnsi" w:hAnsiTheme="majorHAnsi" w:cs="Times New Roman"/>
        </w:rPr>
        <w:t xml:space="preserve"> costs- 48 percent of income-7.20/hour. Setting floors on minimum wages of $18/hour of gig work (benefit value) eliminates 70% of negative net welfare.</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Algorithmic Transparency: The information asymmetry on Platforms of first instance is created by the way tasks are distributed and wages are decided. According to our survey, workers with an understanding of the algorithmic factors (acceptance rates, surge pricing) receive a higher amount of payment of $2.40/hour than those with no knowledge. Misperception would be reduced by half by introduction of regulatory requirements of real-time calculators of net pay after expenses and benefits.</w:t>
      </w:r>
    </w:p>
    <w:p w:rsidR="00BE0F3C" w:rsidRPr="00801138" w:rsidRDefault="00BE0F3C" w:rsidP="00BE0F3C">
      <w:pPr>
        <w:spacing w:line="240" w:lineRule="auto"/>
        <w:jc w:val="both"/>
        <w:rPr>
          <w:rFonts w:asciiTheme="majorHAnsi" w:hAnsiTheme="majorHAnsi" w:cs="Times New Roman"/>
          <w:b/>
        </w:rPr>
      </w:pPr>
      <w:r w:rsidRPr="00801138">
        <w:rPr>
          <w:rFonts w:asciiTheme="majorHAnsi" w:hAnsiTheme="majorHAnsi" w:cs="Times New Roman"/>
          <w:b/>
        </w:rPr>
        <w:t>CONCLUSION AND RECOMMENDATIONS: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The paper offers a cost-benefit analysis of the flexibility premium of gig work, which is the first of its kind based on 10,000-worker data of administration and primary surveys. Five core findings emerge:</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1.</w:t>
      </w:r>
      <w:r w:rsidRPr="00801138">
        <w:rPr>
          <w:rFonts w:asciiTheme="majorHAnsi" w:hAnsiTheme="majorHAnsi" w:cs="Times New Roman"/>
        </w:rPr>
        <w:tab/>
        <w:t xml:space="preserve">Flexibility Premium is a Real and Yet Not Adequate: Workers are willing to pay at a rate of $4.20/hour to be able to schedule their work, which is counterbalanced by </w:t>
      </w:r>
      <w:proofErr w:type="spellStart"/>
      <w:r w:rsidRPr="00801138">
        <w:rPr>
          <w:rFonts w:asciiTheme="majorHAnsi" w:hAnsiTheme="majorHAnsi" w:cs="Times New Roman"/>
        </w:rPr>
        <w:t>precarity</w:t>
      </w:r>
      <w:proofErr w:type="spellEnd"/>
      <w:r w:rsidRPr="00801138">
        <w:rPr>
          <w:rFonts w:asciiTheme="majorHAnsi" w:hAnsiTheme="majorHAnsi" w:cs="Times New Roman"/>
        </w:rPr>
        <w:t xml:space="preserve"> costs at the rate of $5.80/hour resulting in net loss of -1.60/hour in the end.</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lastRenderedPageBreak/>
        <w:t>2.</w:t>
      </w:r>
      <w:r w:rsidRPr="00801138">
        <w:rPr>
          <w:rFonts w:asciiTheme="majorHAnsi" w:hAnsiTheme="majorHAnsi" w:cs="Times New Roman"/>
        </w:rPr>
        <w:tab/>
        <w:t>Massive Heterogeneity: Skilled freelancers make above +3.20/hour net and platform workers with low skills make below -3.10/hour. There is a 3-4x difference in age, education and primary income status.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3.</w:t>
      </w:r>
      <w:r w:rsidRPr="00801138">
        <w:rPr>
          <w:rFonts w:asciiTheme="majorHAnsi" w:hAnsiTheme="majorHAnsi" w:cs="Times New Roman"/>
        </w:rPr>
        <w:tab/>
        <w:t>Systematic Misperception: 72% of new gig workers overrate flexibility by 40-60, which results in a third of entrants having ex post regrets.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4.</w:t>
      </w:r>
      <w:r w:rsidRPr="00801138">
        <w:rPr>
          <w:rFonts w:asciiTheme="majorHAnsi" w:hAnsiTheme="majorHAnsi" w:cs="Times New Roman"/>
        </w:rPr>
        <w:tab/>
        <w:t xml:space="preserve">Income Volatility is </w:t>
      </w:r>
      <w:proofErr w:type="gramStart"/>
      <w:r w:rsidRPr="00801138">
        <w:rPr>
          <w:rFonts w:asciiTheme="majorHAnsi" w:hAnsiTheme="majorHAnsi" w:cs="Times New Roman"/>
        </w:rPr>
        <w:t>Underestimated</w:t>
      </w:r>
      <w:proofErr w:type="gramEnd"/>
      <w:r w:rsidRPr="00801138">
        <w:rPr>
          <w:rFonts w:asciiTheme="majorHAnsi" w:hAnsiTheme="majorHAnsi" w:cs="Times New Roman"/>
        </w:rPr>
        <w:t>: Gig employees are 3.4x more likely to experience earnings volatility than traditional workers, and 34% of them have earnings volatility that exceeds 50% month to month variation -risk premises not reflected in standard wage comparisons.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5.</w:t>
      </w:r>
      <w:r w:rsidRPr="00801138">
        <w:rPr>
          <w:rFonts w:asciiTheme="majorHAnsi" w:hAnsiTheme="majorHAnsi" w:cs="Times New Roman"/>
        </w:rPr>
        <w:tab/>
        <w:t xml:space="preserve">Existing Policies are not sufficient: partial benefits that exist in the form of Proposition 22 would reduce by less than half the </w:t>
      </w:r>
      <w:proofErr w:type="spellStart"/>
      <w:r w:rsidRPr="00801138">
        <w:rPr>
          <w:rFonts w:asciiTheme="majorHAnsi" w:hAnsiTheme="majorHAnsi" w:cs="Times New Roman"/>
        </w:rPr>
        <w:t>precarity</w:t>
      </w:r>
      <w:proofErr w:type="spellEnd"/>
      <w:r w:rsidRPr="00801138">
        <w:rPr>
          <w:rFonts w:asciiTheme="majorHAnsi" w:hAnsiTheme="majorHAnsi" w:cs="Times New Roman"/>
        </w:rPr>
        <w:t xml:space="preserve"> costs. Only 12% of the workers are on voluntary portable benefits programs so most of them are left uncovered.</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Our suggestion is a federal bill, the Flexibility-</w:t>
      </w:r>
      <w:proofErr w:type="spellStart"/>
      <w:r w:rsidRPr="00801138">
        <w:rPr>
          <w:rFonts w:asciiTheme="majorHAnsi" w:hAnsiTheme="majorHAnsi" w:cs="Times New Roman"/>
        </w:rPr>
        <w:t>Precarity</w:t>
      </w:r>
      <w:proofErr w:type="spellEnd"/>
      <w:r w:rsidRPr="00801138">
        <w:rPr>
          <w:rFonts w:asciiTheme="majorHAnsi" w:hAnsiTheme="majorHAnsi" w:cs="Times New Roman"/>
        </w:rPr>
        <w:t xml:space="preserve"> Transparency Act, which has four pillars:</w:t>
      </w:r>
    </w:p>
    <w:p w:rsidR="00BE0F3C" w:rsidRPr="00801138" w:rsidRDefault="00BE0F3C" w:rsidP="00BE0F3C">
      <w:pPr>
        <w:spacing w:line="240" w:lineRule="auto"/>
        <w:jc w:val="both"/>
        <w:rPr>
          <w:rFonts w:asciiTheme="majorHAnsi" w:hAnsiTheme="majorHAnsi" w:cs="Times New Roman"/>
        </w:rPr>
      </w:pPr>
      <w:proofErr w:type="gramStart"/>
      <w:r w:rsidRPr="00801138">
        <w:rPr>
          <w:rFonts w:asciiTheme="majorHAnsi" w:hAnsiTheme="majorHAnsi" w:cs="Times New Roman"/>
        </w:rPr>
        <w:t>Pillar 1: Net Earnings Disclosure requirement.</w:t>
      </w:r>
      <w:proofErr w:type="gramEnd"/>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w:t>
      </w:r>
      <w:r w:rsidRPr="00801138">
        <w:rPr>
          <w:rFonts w:asciiTheme="majorHAnsi" w:hAnsiTheme="majorHAnsi" w:cs="Times New Roman"/>
        </w:rPr>
        <w:tab/>
        <w:t>Earnings calculator in real-time: Platforms should show net hourly compensation following:</w:t>
      </w:r>
    </w:p>
    <w:p w:rsidR="00BE0F3C" w:rsidRPr="00801138" w:rsidRDefault="00BE0F3C" w:rsidP="00BE0F3C">
      <w:pPr>
        <w:spacing w:line="240" w:lineRule="auto"/>
        <w:jc w:val="both"/>
        <w:rPr>
          <w:rFonts w:asciiTheme="majorHAnsi" w:hAnsiTheme="majorHAnsi" w:cs="Times New Roman"/>
        </w:rPr>
      </w:pPr>
      <w:proofErr w:type="gramStart"/>
      <w:r w:rsidRPr="00801138">
        <w:rPr>
          <w:rFonts w:asciiTheme="majorHAnsi" w:hAnsiTheme="majorHAnsi" w:cs="Times New Roman"/>
        </w:rPr>
        <w:t>o</w:t>
      </w:r>
      <w:proofErr w:type="gramEnd"/>
      <w:r w:rsidRPr="00801138">
        <w:rPr>
          <w:rFonts w:asciiTheme="majorHAnsi" w:hAnsiTheme="majorHAnsi" w:cs="Times New Roman"/>
        </w:rPr>
        <w:tab/>
        <w:t>15.3% self-employment tax</w:t>
      </w:r>
    </w:p>
    <w:p w:rsidR="00BE0F3C" w:rsidRPr="00801138" w:rsidRDefault="00BE0F3C" w:rsidP="00BE0F3C">
      <w:pPr>
        <w:spacing w:line="240" w:lineRule="auto"/>
        <w:jc w:val="both"/>
        <w:rPr>
          <w:rFonts w:asciiTheme="majorHAnsi" w:hAnsiTheme="majorHAnsi" w:cs="Times New Roman"/>
        </w:rPr>
      </w:pPr>
      <w:proofErr w:type="gramStart"/>
      <w:r w:rsidRPr="00801138">
        <w:rPr>
          <w:rFonts w:asciiTheme="majorHAnsi" w:hAnsiTheme="majorHAnsi" w:cs="Times New Roman"/>
        </w:rPr>
        <w:t>o</w:t>
      </w:r>
      <w:proofErr w:type="gramEnd"/>
      <w:r w:rsidRPr="00801138">
        <w:rPr>
          <w:rFonts w:asciiTheme="majorHAnsi" w:hAnsiTheme="majorHAnsi" w:cs="Times New Roman"/>
        </w:rPr>
        <w:tab/>
        <w:t>Pro-rated state exchange silver plan health insurance cost.</w:t>
      </w:r>
    </w:p>
    <w:p w:rsidR="00BE0F3C" w:rsidRPr="00801138" w:rsidRDefault="00BE0F3C" w:rsidP="00BE0F3C">
      <w:pPr>
        <w:spacing w:line="240" w:lineRule="auto"/>
        <w:jc w:val="both"/>
        <w:rPr>
          <w:rFonts w:asciiTheme="majorHAnsi" w:hAnsiTheme="majorHAnsi" w:cs="Times New Roman"/>
        </w:rPr>
      </w:pPr>
      <w:proofErr w:type="gramStart"/>
      <w:r w:rsidRPr="00801138">
        <w:rPr>
          <w:rFonts w:asciiTheme="majorHAnsi" w:hAnsiTheme="majorHAnsi" w:cs="Times New Roman"/>
        </w:rPr>
        <w:t>o</w:t>
      </w:r>
      <w:proofErr w:type="gramEnd"/>
      <w:r w:rsidRPr="00801138">
        <w:rPr>
          <w:rFonts w:asciiTheme="majorHAnsi" w:hAnsiTheme="majorHAnsi" w:cs="Times New Roman"/>
        </w:rPr>
        <w:tab/>
        <w:t>Employees comp equivalent (0.20/hour)</w:t>
      </w:r>
    </w:p>
    <w:p w:rsidR="00BE0F3C" w:rsidRPr="00801138" w:rsidRDefault="00BE0F3C" w:rsidP="00BE0F3C">
      <w:pPr>
        <w:spacing w:line="240" w:lineRule="auto"/>
        <w:jc w:val="both"/>
        <w:rPr>
          <w:rFonts w:asciiTheme="majorHAnsi" w:hAnsiTheme="majorHAnsi" w:cs="Times New Roman"/>
        </w:rPr>
      </w:pPr>
      <w:proofErr w:type="gramStart"/>
      <w:r w:rsidRPr="00801138">
        <w:rPr>
          <w:rFonts w:asciiTheme="majorHAnsi" w:hAnsiTheme="majorHAnsi" w:cs="Times New Roman"/>
        </w:rPr>
        <w:t>o</w:t>
      </w:r>
      <w:proofErr w:type="gramEnd"/>
      <w:r w:rsidRPr="00801138">
        <w:rPr>
          <w:rFonts w:asciiTheme="majorHAnsi" w:hAnsiTheme="majorHAnsi" w:cs="Times New Roman"/>
        </w:rPr>
        <w:t xml:space="preserve"> 3% loss of contribution to retirement.</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xml:space="preserve">Onboarding: Before the worker is </w:t>
      </w:r>
      <w:proofErr w:type="spellStart"/>
      <w:r w:rsidRPr="00801138">
        <w:rPr>
          <w:rFonts w:asciiTheme="majorHAnsi" w:hAnsiTheme="majorHAnsi" w:cs="Times New Roman"/>
        </w:rPr>
        <w:t>onboarded</w:t>
      </w:r>
      <w:proofErr w:type="spellEnd"/>
      <w:r w:rsidRPr="00801138">
        <w:rPr>
          <w:rFonts w:asciiTheme="majorHAnsi" w:hAnsiTheme="majorHAnsi" w:cs="Times New Roman"/>
        </w:rPr>
        <w:t>, they will be given an individual estimate of the net earnings per year based on their anticipated number of hours worked and the cost of local insurance.</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Pillar 2: Benefits Fund</w:t>
      </w:r>
    </w:p>
    <w:p w:rsidR="00BE0F3C" w:rsidRPr="00801138" w:rsidRDefault="00BE0F3C" w:rsidP="00BE0F3C">
      <w:pPr>
        <w:spacing w:line="240" w:lineRule="auto"/>
        <w:jc w:val="both"/>
        <w:rPr>
          <w:rFonts w:asciiTheme="majorHAnsi" w:hAnsiTheme="majorHAnsi" w:cs="Times New Roman"/>
        </w:rPr>
      </w:pPr>
      <w:proofErr w:type="gramStart"/>
      <w:r w:rsidRPr="00801138">
        <w:rPr>
          <w:rFonts w:asciiTheme="majorHAnsi" w:hAnsiTheme="majorHAnsi" w:cs="Times New Roman"/>
        </w:rPr>
        <w:t>|human|&gt;Portable Benefits Fund.</w:t>
      </w:r>
      <w:proofErr w:type="gramEnd"/>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w:t>
      </w:r>
      <w:r w:rsidRPr="00801138">
        <w:rPr>
          <w:rFonts w:asciiTheme="majorHAnsi" w:hAnsiTheme="majorHAnsi" w:cs="Times New Roman"/>
        </w:rPr>
        <w:tab/>
        <w:t>Mandatory contributions: The workers who have worked more than 40 hours/month or earned more than 30% of their income via gig work will have their earnings deposited into state-managed Portable Benefits Accounts by the platform, which will contribute 6.5% of the earnings.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Account structure: Workers deposit their money in:</w:t>
      </w:r>
    </w:p>
    <w:p w:rsidR="00BE0F3C" w:rsidRPr="00801138" w:rsidRDefault="00BE0F3C" w:rsidP="00BE0F3C">
      <w:pPr>
        <w:spacing w:line="240" w:lineRule="auto"/>
        <w:jc w:val="both"/>
        <w:rPr>
          <w:rFonts w:asciiTheme="majorHAnsi" w:hAnsiTheme="majorHAnsi" w:cs="Times New Roman"/>
        </w:rPr>
      </w:pPr>
      <w:proofErr w:type="gramStart"/>
      <w:r w:rsidRPr="00801138">
        <w:rPr>
          <w:rFonts w:asciiTheme="majorHAnsi" w:hAnsiTheme="majorHAnsi" w:cs="Times New Roman"/>
        </w:rPr>
        <w:t>o</w:t>
      </w:r>
      <w:proofErr w:type="gramEnd"/>
      <w:r w:rsidRPr="00801138">
        <w:rPr>
          <w:rFonts w:asciiTheme="majorHAnsi" w:hAnsiTheme="majorHAnsi" w:cs="Times New Roman"/>
        </w:rPr>
        <w:tab/>
        <w:t>Health insurance premium subsidies (up to 400/month)</w:t>
      </w:r>
    </w:p>
    <w:p w:rsidR="00BE0F3C" w:rsidRPr="00801138" w:rsidRDefault="00BE0F3C" w:rsidP="00BE0F3C">
      <w:pPr>
        <w:spacing w:line="240" w:lineRule="auto"/>
        <w:jc w:val="both"/>
        <w:rPr>
          <w:rFonts w:asciiTheme="majorHAnsi" w:hAnsiTheme="majorHAnsi" w:cs="Times New Roman"/>
        </w:rPr>
      </w:pPr>
      <w:proofErr w:type="gramStart"/>
      <w:r w:rsidRPr="00801138">
        <w:rPr>
          <w:rFonts w:asciiTheme="majorHAnsi" w:hAnsiTheme="majorHAnsi" w:cs="Times New Roman"/>
        </w:rPr>
        <w:t>o</w:t>
      </w:r>
      <w:proofErr w:type="gramEnd"/>
      <w:r w:rsidRPr="00801138">
        <w:rPr>
          <w:rFonts w:asciiTheme="majorHAnsi" w:hAnsiTheme="majorHAnsi" w:cs="Times New Roman"/>
        </w:rPr>
        <w:tab/>
        <w:t>Retirement savings (automatic enrolled IRA of 3% default)</w:t>
      </w:r>
    </w:p>
    <w:p w:rsidR="00BE0F3C" w:rsidRPr="00801138" w:rsidRDefault="00BE0F3C" w:rsidP="00BE0F3C">
      <w:pPr>
        <w:spacing w:line="240" w:lineRule="auto"/>
        <w:jc w:val="both"/>
        <w:rPr>
          <w:rFonts w:asciiTheme="majorHAnsi" w:hAnsiTheme="majorHAnsi" w:cs="Times New Roman"/>
        </w:rPr>
      </w:pPr>
      <w:proofErr w:type="gramStart"/>
      <w:r w:rsidRPr="00801138">
        <w:rPr>
          <w:rFonts w:asciiTheme="majorHAnsi" w:hAnsiTheme="majorHAnsi" w:cs="Times New Roman"/>
        </w:rPr>
        <w:t>o</w:t>
      </w:r>
      <w:proofErr w:type="gramEnd"/>
      <w:r w:rsidRPr="00801138">
        <w:rPr>
          <w:rFonts w:asciiTheme="majorHAnsi" w:hAnsiTheme="majorHAnsi" w:cs="Times New Roman"/>
        </w:rPr>
        <w:t xml:space="preserve"> Paid time off (accrued at 10 cent an hour)</w:t>
      </w:r>
    </w:p>
    <w:p w:rsidR="00BE0F3C" w:rsidRPr="00801138" w:rsidRDefault="00BE0F3C" w:rsidP="00BE0F3C">
      <w:pPr>
        <w:spacing w:line="240" w:lineRule="auto"/>
        <w:jc w:val="both"/>
        <w:rPr>
          <w:rFonts w:asciiTheme="majorHAnsi" w:hAnsiTheme="majorHAnsi" w:cs="Times New Roman"/>
        </w:rPr>
      </w:pPr>
      <w:proofErr w:type="gramStart"/>
      <w:r w:rsidRPr="00801138">
        <w:rPr>
          <w:rFonts w:asciiTheme="majorHAnsi" w:hAnsiTheme="majorHAnsi" w:cs="Times New Roman"/>
        </w:rPr>
        <w:t>o</w:t>
      </w:r>
      <w:proofErr w:type="gramEnd"/>
      <w:r w:rsidRPr="00801138">
        <w:rPr>
          <w:rFonts w:asciiTheme="majorHAnsi" w:hAnsiTheme="majorHAnsi" w:cs="Times New Roman"/>
        </w:rPr>
        <w:tab/>
        <w:t>Income volatility buffer (short term disability)</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w:t>
      </w:r>
      <w:r w:rsidRPr="00801138">
        <w:rPr>
          <w:rFonts w:asciiTheme="majorHAnsi" w:hAnsiTheme="majorHAnsi" w:cs="Times New Roman"/>
        </w:rPr>
        <w:tab/>
        <w:t>Portability: The account is the account that is tracked by the workers within the platforms using the unique ID where contributions are done quarterly.</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Pillar 3: Algorithms Transparency and Due Process.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w:t>
      </w:r>
      <w:r w:rsidRPr="00801138">
        <w:rPr>
          <w:rFonts w:asciiTheme="majorHAnsi" w:hAnsiTheme="majorHAnsi" w:cs="Times New Roman"/>
        </w:rPr>
        <w:tab/>
        <w:t>Wage determination description: Platforms need to post aspects that influence pay (surge multipliers, weights of the task allocation algorithm).</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lastRenderedPageBreak/>
        <w:t>•</w:t>
      </w:r>
      <w:r w:rsidRPr="00801138">
        <w:rPr>
          <w:rFonts w:asciiTheme="majorHAnsi" w:hAnsiTheme="majorHAnsi" w:cs="Times New Roman"/>
        </w:rPr>
        <w:tab/>
        <w:t>Deactivation appeals: Employees whose accounts are removed off any platform are entitled to human review with 14 days, and with reinstatement presumed in the event of inadequate algorithmic evidence.</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xml:space="preserve">Safe Harbor </w:t>
      </w:r>
      <w:proofErr w:type="gramStart"/>
      <w:r w:rsidRPr="00801138">
        <w:rPr>
          <w:rFonts w:asciiTheme="majorHAnsi" w:hAnsiTheme="majorHAnsi" w:cs="Times New Roman"/>
        </w:rPr>
        <w:t>Tiered</w:t>
      </w:r>
      <w:proofErr w:type="gramEnd"/>
      <w:r w:rsidRPr="00801138">
        <w:rPr>
          <w:rFonts w:asciiTheme="majorHAnsi" w:hAnsiTheme="majorHAnsi" w:cs="Times New Roman"/>
        </w:rPr>
        <w:t xml:space="preserve"> Classification Pillar 4.</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w:t>
      </w:r>
      <w:r w:rsidRPr="00801138">
        <w:rPr>
          <w:rFonts w:asciiTheme="majorHAnsi" w:hAnsiTheme="majorHAnsi" w:cs="Times New Roman"/>
        </w:rPr>
        <w:tab/>
        <w:t xml:space="preserve">Real freelancer </w:t>
      </w:r>
      <w:proofErr w:type="spellStart"/>
      <w:r w:rsidRPr="00801138">
        <w:rPr>
          <w:rFonts w:asciiTheme="majorHAnsi" w:hAnsiTheme="majorHAnsi" w:cs="Times New Roman"/>
        </w:rPr>
        <w:t>carveout</w:t>
      </w:r>
      <w:proofErr w:type="spellEnd"/>
      <w:r w:rsidRPr="00801138">
        <w:rPr>
          <w:rFonts w:asciiTheme="majorHAnsi" w:hAnsiTheme="majorHAnsi" w:cs="Times New Roman"/>
        </w:rPr>
        <w:t>: Employees with income exceeding more than 75K/year or those contracting on more than 3 platforms may decline to take on portable benefits requirement to maintain flexibility among high-skill consultants.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w:t>
      </w:r>
      <w:r w:rsidRPr="00801138">
        <w:rPr>
          <w:rFonts w:asciiTheme="majorHAnsi" w:hAnsiTheme="majorHAnsi" w:cs="Times New Roman"/>
        </w:rPr>
        <w:tab/>
        <w:t xml:space="preserve">Employee presumption: Workers with more than 120 hours/month to single platform </w:t>
      </w:r>
      <w:proofErr w:type="spellStart"/>
      <w:r w:rsidRPr="00801138">
        <w:rPr>
          <w:rFonts w:asciiTheme="majorHAnsi" w:hAnsiTheme="majorHAnsi" w:cs="Times New Roman"/>
        </w:rPr>
        <w:t>rebuttably</w:t>
      </w:r>
      <w:proofErr w:type="spellEnd"/>
      <w:r w:rsidRPr="00801138">
        <w:rPr>
          <w:rFonts w:asciiTheme="majorHAnsi" w:hAnsiTheme="majorHAnsi" w:cs="Times New Roman"/>
        </w:rPr>
        <w:t xml:space="preserve"> presumed employees, who could get all benefits, but lose some freedom.</w:t>
      </w:r>
    </w:p>
    <w:p w:rsidR="00BE0F3C" w:rsidRPr="00801138" w:rsidRDefault="00BE0F3C" w:rsidP="00BE0F3C">
      <w:pPr>
        <w:spacing w:line="240" w:lineRule="auto"/>
        <w:ind w:firstLine="720"/>
        <w:jc w:val="both"/>
        <w:rPr>
          <w:rFonts w:asciiTheme="majorHAnsi" w:hAnsiTheme="majorHAnsi" w:cs="Times New Roman"/>
        </w:rPr>
      </w:pPr>
      <w:r w:rsidRPr="00801138">
        <w:rPr>
          <w:rFonts w:asciiTheme="majorHAnsi" w:hAnsiTheme="majorHAnsi" w:cs="Times New Roman"/>
        </w:rPr>
        <w:t xml:space="preserve">Platform Contributions: 6.5 percent of earnings (1.05/hour at median wage) </w:t>
      </w:r>
      <w:proofErr w:type="gramStart"/>
      <w:r w:rsidRPr="00801138">
        <w:rPr>
          <w:rFonts w:asciiTheme="majorHAnsi" w:hAnsiTheme="majorHAnsi" w:cs="Times New Roman"/>
        </w:rPr>
        <w:t>contributes</w:t>
      </w:r>
      <w:proofErr w:type="gramEnd"/>
      <w:r w:rsidRPr="00801138">
        <w:rPr>
          <w:rFonts w:asciiTheme="majorHAnsi" w:hAnsiTheme="majorHAnsi" w:cs="Times New Roman"/>
        </w:rPr>
        <w:t xml:space="preserve"> 1.6 billion a year to 75 million US gig workers. It is Pareto-improving, since it is less than the current savings that the platforms will gain by not classifying employees (estimated to be $8.2 billion of benefits saved).</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Public Subsidies: Federal premium tax credits that workers with low incomes (under 200% of FPL) receive in their portable accounts resemble ACA subsidies. Projected price: 400 million US dollars/year.</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State Administration: The administration of accounts is carried out by the states using the current unemployment insurance infrastructure, and it avoids the introduction of new bureaucracy. SB 233 is an implementation model in Utah.</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Data Limitations: We only take three major platforms as our sample, employees in smaller platforms or working in many platforms could have varied cost structures. Satisfied workers may be overrepresented because of attrition bias (19% loss).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xml:space="preserve">Causality: Although we can show close relations, causal arguments would be stronger with the help of experimental data provided by policy pilots. Templates are in the form of randomized controlled trials of portable benefits (e.g., </w:t>
      </w:r>
      <w:proofErr w:type="spellStart"/>
      <w:r w:rsidRPr="00801138">
        <w:rPr>
          <w:rFonts w:asciiTheme="majorHAnsi" w:hAnsiTheme="majorHAnsi" w:cs="Times New Roman"/>
        </w:rPr>
        <w:t>DoorDash</w:t>
      </w:r>
      <w:proofErr w:type="spellEnd"/>
      <w:r w:rsidRPr="00801138">
        <w:rPr>
          <w:rFonts w:asciiTheme="majorHAnsi" w:hAnsiTheme="majorHAnsi" w:cs="Times New Roman"/>
        </w:rPr>
        <w:t xml:space="preserve"> pilot in Pennsylvania).</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Generalizability: The results obtained in the US would not necessarily be applicable in Europe where social safety nets are more robust. Institutional effects would be enlightened by cross-national comparative studies.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Long-term outcomes: Monitor adequacy of retirement savings and health outcomes 10+ years.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Platform competition: Investigate the impacts of benefits mandates on platform entry/exit and workers sorting.</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xml:space="preserve">• Technology solutions: Review portable benefits systems based on blockchain technology to have </w:t>
      </w:r>
      <w:proofErr w:type="gramStart"/>
      <w:r w:rsidRPr="00801138">
        <w:rPr>
          <w:rFonts w:asciiTheme="majorHAnsi" w:hAnsiTheme="majorHAnsi" w:cs="Times New Roman"/>
        </w:rPr>
        <w:t>a cross</w:t>
      </w:r>
      <w:proofErr w:type="gramEnd"/>
      <w:r w:rsidRPr="00801138">
        <w:rPr>
          <w:rFonts w:asciiTheme="majorHAnsi" w:hAnsiTheme="majorHAnsi" w:cs="Times New Roman"/>
        </w:rPr>
        <w:t>-platform portability.</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xml:space="preserve">The gig economy made the promise of freedom without a 9-to-5 working schedule but brought structural </w:t>
      </w:r>
      <w:proofErr w:type="spellStart"/>
      <w:r w:rsidRPr="00801138">
        <w:rPr>
          <w:rFonts w:asciiTheme="majorHAnsi" w:hAnsiTheme="majorHAnsi" w:cs="Times New Roman"/>
        </w:rPr>
        <w:t>precarity</w:t>
      </w:r>
      <w:proofErr w:type="spellEnd"/>
      <w:r w:rsidRPr="00801138">
        <w:rPr>
          <w:rFonts w:asciiTheme="majorHAnsi" w:hAnsiTheme="majorHAnsi" w:cs="Times New Roman"/>
        </w:rPr>
        <w:t xml:space="preserve"> in the guise of freedom. The fact that 80% of all gig workers make net hourly losses undermines the discussion that flexibility counters the benefit gaps. The net hourly return of -1.60 is not just an artifact of the statistics, that is, it is a loss of medical treatment, a loss of retirement funds, and economic vulnerability in the times of crisis.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xml:space="preserve">Nevertheless, flexibility is truly helpful to the caregivers, disabled employees, and people in the transitional stage of life. This value should be maintained through policy, but </w:t>
      </w:r>
      <w:proofErr w:type="spellStart"/>
      <w:r w:rsidRPr="00801138">
        <w:rPr>
          <w:rFonts w:asciiTheme="majorHAnsi" w:hAnsiTheme="majorHAnsi" w:cs="Times New Roman"/>
        </w:rPr>
        <w:t>precarity</w:t>
      </w:r>
      <w:proofErr w:type="spellEnd"/>
      <w:r w:rsidRPr="00801138">
        <w:rPr>
          <w:rFonts w:asciiTheme="majorHAnsi" w:hAnsiTheme="majorHAnsi" w:cs="Times New Roman"/>
        </w:rPr>
        <w:t xml:space="preserve"> gaps should be bridged. The Flexibility-</w:t>
      </w:r>
      <w:proofErr w:type="spellStart"/>
      <w:r w:rsidRPr="00801138">
        <w:rPr>
          <w:rFonts w:asciiTheme="majorHAnsi" w:hAnsiTheme="majorHAnsi" w:cs="Times New Roman"/>
        </w:rPr>
        <w:t>Precarity</w:t>
      </w:r>
      <w:proofErr w:type="spellEnd"/>
      <w:r w:rsidRPr="00801138">
        <w:rPr>
          <w:rFonts w:asciiTheme="majorHAnsi" w:hAnsiTheme="majorHAnsi" w:cs="Times New Roman"/>
        </w:rPr>
        <w:t xml:space="preserve"> Transparency Act works to accomplish this by:</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w:t>
      </w:r>
      <w:r w:rsidRPr="00801138">
        <w:rPr>
          <w:rFonts w:asciiTheme="majorHAnsi" w:hAnsiTheme="majorHAnsi" w:cs="Times New Roman"/>
        </w:rPr>
        <w:tab/>
        <w:t>Informing choice: Net earnings disclosure remedies information asymmetry.</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Sharing costs: 6.5% contribution of a platform is lower than existing savings of misclassification.</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w:t>
      </w:r>
      <w:r w:rsidRPr="00801138">
        <w:rPr>
          <w:rFonts w:asciiTheme="majorHAnsi" w:hAnsiTheme="majorHAnsi" w:cs="Times New Roman"/>
        </w:rPr>
        <w:tab/>
        <w:t xml:space="preserve">Maintaining autonomy: Portable accounts provide the worker control, without employee </w:t>
      </w:r>
      <w:proofErr w:type="spellStart"/>
      <w:r w:rsidRPr="00801138">
        <w:rPr>
          <w:rFonts w:asciiTheme="majorHAnsi" w:hAnsiTheme="majorHAnsi" w:cs="Times New Roman"/>
        </w:rPr>
        <w:t>stiffnesses</w:t>
      </w:r>
      <w:proofErr w:type="spellEnd"/>
      <w:r w:rsidRPr="00801138">
        <w:rPr>
          <w:rFonts w:asciiTheme="majorHAnsi" w:hAnsiTheme="majorHAnsi" w:cs="Times New Roman"/>
        </w:rPr>
        <w:t>.</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lastRenderedPageBreak/>
        <w:t>The gig economy is not a monopoly. Freelancers are highly skilled (&gt; +$3.20/hour net), whereas drivers with low skills perform poorly (-3.10/hour). The policy should establish a distinction between- cutting the real independent contractors and safeguarding dependent workers.</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xml:space="preserve">However, the gig economy reveals an even more important fact: US social insurance is tied to employment, a 20th-century model that is poorly applicable to 21st-century labor markets. Portable benefits are not a </w:t>
      </w:r>
      <w:proofErr w:type="spellStart"/>
      <w:r w:rsidRPr="00801138">
        <w:rPr>
          <w:rFonts w:asciiTheme="majorHAnsi" w:hAnsiTheme="majorHAnsi" w:cs="Times New Roman"/>
        </w:rPr>
        <w:t>gigeconomy</w:t>
      </w:r>
      <w:proofErr w:type="spellEnd"/>
      <w:r w:rsidRPr="00801138">
        <w:rPr>
          <w:rFonts w:asciiTheme="majorHAnsi" w:hAnsiTheme="majorHAnsi" w:cs="Times New Roman"/>
        </w:rPr>
        <w:t xml:space="preserve"> compromise, but a universal reform that is required as jobs are broken up among various employers. We can support all workers to cross-traverse jobs with benefits by beginning with gig workers and creating infrastructure to support the benefit of all workers.</w:t>
      </w:r>
    </w:p>
    <w:p w:rsidR="00BE0F3C" w:rsidRPr="00801138" w:rsidRDefault="00BE0F3C" w:rsidP="00BE0F3C">
      <w:pPr>
        <w:spacing w:line="240" w:lineRule="auto"/>
        <w:jc w:val="both"/>
        <w:rPr>
          <w:rFonts w:asciiTheme="majorHAnsi" w:hAnsiTheme="majorHAnsi" w:cs="Times New Roman"/>
          <w:b/>
          <w:bCs/>
        </w:rPr>
      </w:pPr>
      <w:r w:rsidRPr="00801138">
        <w:rPr>
          <w:rFonts w:asciiTheme="majorHAnsi" w:hAnsiTheme="majorHAnsi" w:cs="Times New Roman"/>
          <w:b/>
          <w:bCs/>
        </w:rPr>
        <w:t>REFERENCES</w:t>
      </w:r>
    </w:p>
    <w:p w:rsidR="00BE0F3C" w:rsidRPr="00801138" w:rsidRDefault="00BE0F3C" w:rsidP="00BE0F3C">
      <w:pPr>
        <w:spacing w:line="240" w:lineRule="auto"/>
        <w:jc w:val="both"/>
        <w:rPr>
          <w:rFonts w:asciiTheme="majorHAnsi" w:hAnsiTheme="majorHAnsi" w:cs="Times New Roman"/>
        </w:rPr>
      </w:pPr>
      <w:proofErr w:type="gramStart"/>
      <w:r w:rsidRPr="00801138">
        <w:rPr>
          <w:rFonts w:asciiTheme="majorHAnsi" w:hAnsiTheme="majorHAnsi" w:cs="Times New Roman"/>
        </w:rPr>
        <w:t>Abraham, K. G., &amp; Houseman, S. N. (2024).</w:t>
      </w:r>
      <w:proofErr w:type="gramEnd"/>
      <w:r w:rsidRPr="00801138">
        <w:rPr>
          <w:rFonts w:asciiTheme="majorHAnsi" w:hAnsiTheme="majorHAnsi" w:cs="Times New Roman"/>
        </w:rPr>
        <w:t xml:space="preserve"> </w:t>
      </w:r>
      <w:proofErr w:type="gramStart"/>
      <w:r w:rsidRPr="00801138">
        <w:rPr>
          <w:rFonts w:asciiTheme="majorHAnsi" w:hAnsiTheme="majorHAnsi" w:cs="Times New Roman"/>
        </w:rPr>
        <w:t>"Measuring the gig economy: Current knowledge and open issues."</w:t>
      </w:r>
      <w:proofErr w:type="gramEnd"/>
      <w:r w:rsidRPr="00801138">
        <w:rPr>
          <w:rFonts w:asciiTheme="majorHAnsi" w:hAnsiTheme="majorHAnsi" w:cs="Times New Roman"/>
        </w:rPr>
        <w:t xml:space="preserve"> </w:t>
      </w:r>
      <w:proofErr w:type="gramStart"/>
      <w:r w:rsidRPr="00801138">
        <w:rPr>
          <w:rFonts w:asciiTheme="majorHAnsi" w:hAnsiTheme="majorHAnsi" w:cs="Times New Roman"/>
          <w:i/>
          <w:iCs/>
        </w:rPr>
        <w:t>IZA World of Labor</w:t>
      </w:r>
      <w:r w:rsidRPr="00801138">
        <w:rPr>
          <w:rFonts w:asciiTheme="majorHAnsi" w:hAnsiTheme="majorHAnsi" w:cs="Times New Roman"/>
        </w:rPr>
        <w:t>.</w:t>
      </w:r>
      <w:proofErr w:type="gramEnd"/>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 xml:space="preserve">ADP Research Institute. (2025). "The gig economy: A tale of two labor markets." </w:t>
      </w:r>
      <w:r w:rsidRPr="00801138">
        <w:rPr>
          <w:rFonts w:asciiTheme="majorHAnsi" w:hAnsiTheme="majorHAnsi" w:cs="Times New Roman"/>
          <w:i/>
          <w:iCs/>
        </w:rPr>
        <w:t>ADP Workforce Vitality Report</w:t>
      </w:r>
      <w:r w:rsidRPr="00801138">
        <w:rPr>
          <w:rFonts w:asciiTheme="majorHAnsi" w:hAnsiTheme="majorHAnsi" w:cs="Times New Roman"/>
        </w:rPr>
        <w:t>, November.</w:t>
      </w:r>
    </w:p>
    <w:p w:rsidR="00BE0F3C" w:rsidRPr="00801138" w:rsidRDefault="00BE0F3C" w:rsidP="00BE0F3C">
      <w:pPr>
        <w:spacing w:line="240" w:lineRule="auto"/>
        <w:jc w:val="both"/>
        <w:rPr>
          <w:rFonts w:asciiTheme="majorHAnsi" w:hAnsiTheme="majorHAnsi" w:cs="Times New Roman"/>
        </w:rPr>
      </w:pPr>
      <w:proofErr w:type="gramStart"/>
      <w:r w:rsidRPr="00801138">
        <w:rPr>
          <w:rFonts w:asciiTheme="majorHAnsi" w:hAnsiTheme="majorHAnsi" w:cs="Times New Roman"/>
        </w:rPr>
        <w:t>American Action Forum.</w:t>
      </w:r>
      <w:proofErr w:type="gramEnd"/>
      <w:r w:rsidRPr="00801138">
        <w:rPr>
          <w:rFonts w:asciiTheme="majorHAnsi" w:hAnsiTheme="majorHAnsi" w:cs="Times New Roman"/>
        </w:rPr>
        <w:t xml:space="preserve"> </w:t>
      </w:r>
      <w:proofErr w:type="gramStart"/>
      <w:r w:rsidRPr="00801138">
        <w:rPr>
          <w:rFonts w:asciiTheme="majorHAnsi" w:hAnsiTheme="majorHAnsi" w:cs="Times New Roman"/>
        </w:rPr>
        <w:t>(2025). "The importance of protecting portable benefits."</w:t>
      </w:r>
      <w:proofErr w:type="gramEnd"/>
      <w:r w:rsidRPr="00801138">
        <w:rPr>
          <w:rFonts w:asciiTheme="majorHAnsi" w:hAnsiTheme="majorHAnsi" w:cs="Times New Roman"/>
        </w:rPr>
        <w:t xml:space="preserve"> </w:t>
      </w:r>
      <w:r w:rsidRPr="00801138">
        <w:rPr>
          <w:rFonts w:asciiTheme="majorHAnsi" w:hAnsiTheme="majorHAnsi" w:cs="Times New Roman"/>
          <w:i/>
          <w:iCs/>
        </w:rPr>
        <w:t>Daily Dish</w:t>
      </w:r>
      <w:r w:rsidRPr="00801138">
        <w:rPr>
          <w:rFonts w:asciiTheme="majorHAnsi" w:hAnsiTheme="majorHAnsi" w:cs="Times New Roman"/>
        </w:rPr>
        <w:t>, August 15.</w:t>
      </w:r>
    </w:p>
    <w:p w:rsidR="00BE0F3C" w:rsidRPr="00801138" w:rsidRDefault="00BE0F3C" w:rsidP="00BE0F3C">
      <w:pPr>
        <w:spacing w:line="240" w:lineRule="auto"/>
        <w:jc w:val="both"/>
        <w:rPr>
          <w:rFonts w:asciiTheme="majorHAnsi" w:hAnsiTheme="majorHAnsi" w:cs="Times New Roman"/>
        </w:rPr>
      </w:pPr>
      <w:proofErr w:type="gramStart"/>
      <w:r w:rsidRPr="00801138">
        <w:rPr>
          <w:rFonts w:asciiTheme="majorHAnsi" w:hAnsiTheme="majorHAnsi" w:cs="Times New Roman"/>
        </w:rPr>
        <w:t>Bureau of Labor Statistics.</w:t>
      </w:r>
      <w:proofErr w:type="gramEnd"/>
      <w:r w:rsidRPr="00801138">
        <w:rPr>
          <w:rFonts w:asciiTheme="majorHAnsi" w:hAnsiTheme="majorHAnsi" w:cs="Times New Roman"/>
        </w:rPr>
        <w:t xml:space="preserve"> (2017). </w:t>
      </w:r>
      <w:r w:rsidRPr="00801138">
        <w:rPr>
          <w:rFonts w:asciiTheme="majorHAnsi" w:hAnsiTheme="majorHAnsi" w:cs="Times New Roman"/>
          <w:i/>
          <w:iCs/>
        </w:rPr>
        <w:t>Contingent and Alternative Employment Arrangements, May 2017</w:t>
      </w:r>
      <w:r w:rsidRPr="00801138">
        <w:rPr>
          <w:rFonts w:asciiTheme="majorHAnsi" w:hAnsiTheme="majorHAnsi" w:cs="Times New Roman"/>
        </w:rPr>
        <w:t xml:space="preserve">. </w:t>
      </w:r>
      <w:proofErr w:type="gramStart"/>
      <w:r w:rsidRPr="00801138">
        <w:rPr>
          <w:rFonts w:asciiTheme="majorHAnsi" w:hAnsiTheme="majorHAnsi" w:cs="Times New Roman"/>
        </w:rPr>
        <w:t>US Department of Labor.</w:t>
      </w:r>
      <w:proofErr w:type="gramEnd"/>
    </w:p>
    <w:p w:rsidR="00BE0F3C" w:rsidRPr="00801138" w:rsidRDefault="00BE0F3C" w:rsidP="00BE0F3C">
      <w:pPr>
        <w:spacing w:line="240" w:lineRule="auto"/>
        <w:jc w:val="both"/>
        <w:rPr>
          <w:rFonts w:asciiTheme="majorHAnsi" w:hAnsiTheme="majorHAnsi" w:cs="Times New Roman"/>
        </w:rPr>
      </w:pPr>
      <w:proofErr w:type="gramStart"/>
      <w:r w:rsidRPr="00801138">
        <w:rPr>
          <w:rFonts w:asciiTheme="majorHAnsi" w:hAnsiTheme="majorHAnsi" w:cs="Times New Roman"/>
        </w:rPr>
        <w:t>Bureau of Labor Statistics.</w:t>
      </w:r>
      <w:proofErr w:type="gramEnd"/>
      <w:r w:rsidRPr="00801138">
        <w:rPr>
          <w:rFonts w:asciiTheme="majorHAnsi" w:hAnsiTheme="majorHAnsi" w:cs="Times New Roman"/>
        </w:rPr>
        <w:t xml:space="preserve"> (2024). </w:t>
      </w:r>
      <w:r w:rsidRPr="00801138">
        <w:rPr>
          <w:rFonts w:asciiTheme="majorHAnsi" w:hAnsiTheme="majorHAnsi" w:cs="Times New Roman"/>
          <w:i/>
          <w:iCs/>
        </w:rPr>
        <w:t>Contingent and Alternative Employment Arrangements, May 2024</w:t>
      </w:r>
      <w:r w:rsidRPr="00801138">
        <w:rPr>
          <w:rFonts w:asciiTheme="majorHAnsi" w:hAnsiTheme="majorHAnsi" w:cs="Times New Roman"/>
        </w:rPr>
        <w:t xml:space="preserve">. </w:t>
      </w:r>
      <w:proofErr w:type="gramStart"/>
      <w:r w:rsidRPr="00801138">
        <w:rPr>
          <w:rFonts w:asciiTheme="majorHAnsi" w:hAnsiTheme="majorHAnsi" w:cs="Times New Roman"/>
        </w:rPr>
        <w:t>US Department of Labor.</w:t>
      </w:r>
      <w:proofErr w:type="gramEnd"/>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t>Cassidy, B. (2025). "Chair Cassidy outlines proposals to empower independent workers." U.S. Senate Committee on Health, Education, Labor, and Pensions, April 23.</w:t>
      </w:r>
    </w:p>
    <w:p w:rsidR="00BE0F3C" w:rsidRPr="00801138" w:rsidRDefault="00BE0F3C" w:rsidP="00BE0F3C">
      <w:pPr>
        <w:spacing w:line="240" w:lineRule="auto"/>
        <w:jc w:val="both"/>
        <w:rPr>
          <w:rFonts w:asciiTheme="majorHAnsi" w:hAnsiTheme="majorHAnsi" w:cs="Times New Roman"/>
        </w:rPr>
      </w:pPr>
      <w:proofErr w:type="gramStart"/>
      <w:r w:rsidRPr="00801138">
        <w:rPr>
          <w:rFonts w:asciiTheme="majorHAnsi" w:hAnsiTheme="majorHAnsi" w:cs="Times New Roman"/>
        </w:rPr>
        <w:t xml:space="preserve">Chen, M. K., Rossi, P. E., Chevalier, J. A., &amp; </w:t>
      </w:r>
      <w:proofErr w:type="spellStart"/>
      <w:r w:rsidRPr="00801138">
        <w:rPr>
          <w:rFonts w:asciiTheme="majorHAnsi" w:hAnsiTheme="majorHAnsi" w:cs="Times New Roman"/>
        </w:rPr>
        <w:t>Oehlsen</w:t>
      </w:r>
      <w:proofErr w:type="spellEnd"/>
      <w:r w:rsidRPr="00801138">
        <w:rPr>
          <w:rFonts w:asciiTheme="majorHAnsi" w:hAnsiTheme="majorHAnsi" w:cs="Times New Roman"/>
        </w:rPr>
        <w:t>, E. (2019).</w:t>
      </w:r>
      <w:proofErr w:type="gramEnd"/>
      <w:r w:rsidRPr="00801138">
        <w:rPr>
          <w:rFonts w:asciiTheme="majorHAnsi" w:hAnsiTheme="majorHAnsi" w:cs="Times New Roman"/>
        </w:rPr>
        <w:t xml:space="preserve"> "The value of flexible work: Evidence from </w:t>
      </w:r>
      <w:proofErr w:type="spellStart"/>
      <w:r w:rsidRPr="00801138">
        <w:rPr>
          <w:rFonts w:asciiTheme="majorHAnsi" w:hAnsiTheme="majorHAnsi" w:cs="Times New Roman"/>
        </w:rPr>
        <w:t>Uber</w:t>
      </w:r>
      <w:proofErr w:type="spellEnd"/>
      <w:r w:rsidRPr="00801138">
        <w:rPr>
          <w:rFonts w:asciiTheme="majorHAnsi" w:hAnsiTheme="majorHAnsi" w:cs="Times New Roman"/>
        </w:rPr>
        <w:t xml:space="preserve"> drivers." </w:t>
      </w:r>
      <w:proofErr w:type="gramStart"/>
      <w:r w:rsidRPr="00801138">
        <w:rPr>
          <w:rFonts w:asciiTheme="majorHAnsi" w:hAnsiTheme="majorHAnsi" w:cs="Times New Roman"/>
          <w:i/>
          <w:iCs/>
        </w:rPr>
        <w:t>Journal of Political Economy</w:t>
      </w:r>
      <w:r w:rsidRPr="00801138">
        <w:rPr>
          <w:rFonts w:asciiTheme="majorHAnsi" w:hAnsiTheme="majorHAnsi" w:cs="Times New Roman"/>
        </w:rPr>
        <w:t>, 127(6), 2735-2794.</w:t>
      </w:r>
      <w:proofErr w:type="gramEnd"/>
    </w:p>
    <w:p w:rsidR="00BE0F3C" w:rsidRPr="00801138" w:rsidRDefault="00BE0F3C" w:rsidP="00BE0F3C">
      <w:pPr>
        <w:spacing w:line="240" w:lineRule="auto"/>
        <w:jc w:val="both"/>
        <w:rPr>
          <w:rFonts w:asciiTheme="majorHAnsi" w:hAnsiTheme="majorHAnsi" w:cs="Times New Roman"/>
        </w:rPr>
      </w:pPr>
      <w:proofErr w:type="gramStart"/>
      <w:r w:rsidRPr="00801138">
        <w:rPr>
          <w:rFonts w:asciiTheme="majorHAnsi" w:hAnsiTheme="majorHAnsi" w:cs="Times New Roman"/>
        </w:rPr>
        <w:t xml:space="preserve">Dunn, A., </w:t>
      </w:r>
      <w:proofErr w:type="spellStart"/>
      <w:r w:rsidRPr="00801138">
        <w:rPr>
          <w:rFonts w:asciiTheme="majorHAnsi" w:hAnsiTheme="majorHAnsi" w:cs="Times New Roman"/>
        </w:rPr>
        <w:t>Houdré</w:t>
      </w:r>
      <w:proofErr w:type="spellEnd"/>
      <w:r w:rsidRPr="00801138">
        <w:rPr>
          <w:rFonts w:asciiTheme="majorHAnsi" w:hAnsiTheme="majorHAnsi" w:cs="Times New Roman"/>
        </w:rPr>
        <w:t xml:space="preserve">, C., &amp; </w:t>
      </w:r>
      <w:proofErr w:type="spellStart"/>
      <w:r w:rsidRPr="00801138">
        <w:rPr>
          <w:rFonts w:asciiTheme="majorHAnsi" w:hAnsiTheme="majorHAnsi" w:cs="Times New Roman"/>
        </w:rPr>
        <w:t>Jaravel</w:t>
      </w:r>
      <w:proofErr w:type="spellEnd"/>
      <w:r w:rsidRPr="00801138">
        <w:rPr>
          <w:rFonts w:asciiTheme="majorHAnsi" w:hAnsiTheme="majorHAnsi" w:cs="Times New Roman"/>
        </w:rPr>
        <w:t>, X. (2024).</w:t>
      </w:r>
      <w:proofErr w:type="gramEnd"/>
      <w:r w:rsidRPr="00801138">
        <w:rPr>
          <w:rFonts w:asciiTheme="majorHAnsi" w:hAnsiTheme="majorHAnsi" w:cs="Times New Roman"/>
        </w:rPr>
        <w:t xml:space="preserve"> "Tax records reveal gig economy income volatility." </w:t>
      </w:r>
      <w:r w:rsidRPr="00801138">
        <w:rPr>
          <w:rFonts w:asciiTheme="majorHAnsi" w:hAnsiTheme="majorHAnsi" w:cs="Times New Roman"/>
          <w:i/>
          <w:iCs/>
        </w:rPr>
        <w:t>AEA Papers and Proceedings</w:t>
      </w:r>
      <w:r w:rsidRPr="00801138">
        <w:rPr>
          <w:rFonts w:asciiTheme="majorHAnsi" w:hAnsiTheme="majorHAnsi" w:cs="Times New Roman"/>
        </w:rPr>
        <w:t>, 114, 201-206.</w:t>
      </w:r>
    </w:p>
    <w:p w:rsidR="00BE0F3C" w:rsidRPr="00801138" w:rsidRDefault="00BE0F3C" w:rsidP="00BE0F3C">
      <w:pPr>
        <w:spacing w:line="240" w:lineRule="auto"/>
        <w:jc w:val="both"/>
        <w:rPr>
          <w:rFonts w:asciiTheme="majorHAnsi" w:hAnsiTheme="majorHAnsi" w:cs="Times New Roman"/>
        </w:rPr>
      </w:pPr>
      <w:proofErr w:type="gramStart"/>
      <w:r w:rsidRPr="00801138">
        <w:rPr>
          <w:rFonts w:asciiTheme="majorHAnsi" w:hAnsiTheme="majorHAnsi" w:cs="Times New Roman"/>
        </w:rPr>
        <w:t>Economic Policy Institute.</w:t>
      </w:r>
      <w:proofErr w:type="gramEnd"/>
      <w:r w:rsidRPr="00801138">
        <w:rPr>
          <w:rFonts w:asciiTheme="majorHAnsi" w:hAnsiTheme="majorHAnsi" w:cs="Times New Roman"/>
        </w:rPr>
        <w:t xml:space="preserve"> (2025). "Workers need real security and flexibility, not pro-employer portable benefits proposals." </w:t>
      </w:r>
      <w:r w:rsidRPr="00801138">
        <w:rPr>
          <w:rFonts w:asciiTheme="majorHAnsi" w:hAnsiTheme="majorHAnsi" w:cs="Times New Roman"/>
          <w:i/>
          <w:iCs/>
        </w:rPr>
        <w:t>EPI Blog</w:t>
      </w:r>
      <w:r w:rsidRPr="00801138">
        <w:rPr>
          <w:rFonts w:asciiTheme="majorHAnsi" w:hAnsiTheme="majorHAnsi" w:cs="Times New Roman"/>
        </w:rPr>
        <w:t>, July 17.</w:t>
      </w:r>
    </w:p>
    <w:p w:rsidR="00BE0F3C" w:rsidRPr="00801138" w:rsidRDefault="00BE0F3C" w:rsidP="00BE0F3C">
      <w:pPr>
        <w:spacing w:line="240" w:lineRule="auto"/>
        <w:jc w:val="both"/>
        <w:rPr>
          <w:rFonts w:asciiTheme="majorHAnsi" w:hAnsiTheme="majorHAnsi" w:cs="Times New Roman"/>
        </w:rPr>
      </w:pPr>
      <w:proofErr w:type="gramStart"/>
      <w:r w:rsidRPr="00801138">
        <w:rPr>
          <w:rFonts w:asciiTheme="majorHAnsi" w:hAnsiTheme="majorHAnsi" w:cs="Times New Roman"/>
        </w:rPr>
        <w:t xml:space="preserve">Farrell, D., &amp; </w:t>
      </w:r>
      <w:proofErr w:type="spellStart"/>
      <w:r w:rsidRPr="00801138">
        <w:rPr>
          <w:rFonts w:asciiTheme="majorHAnsi" w:hAnsiTheme="majorHAnsi" w:cs="Times New Roman"/>
        </w:rPr>
        <w:t>Greig</w:t>
      </w:r>
      <w:proofErr w:type="spellEnd"/>
      <w:r w:rsidRPr="00801138">
        <w:rPr>
          <w:rFonts w:asciiTheme="majorHAnsi" w:hAnsiTheme="majorHAnsi" w:cs="Times New Roman"/>
        </w:rPr>
        <w:t>, F. (2024).</w:t>
      </w:r>
      <w:proofErr w:type="gramEnd"/>
      <w:r w:rsidRPr="00801138">
        <w:rPr>
          <w:rFonts w:asciiTheme="majorHAnsi" w:hAnsiTheme="majorHAnsi" w:cs="Times New Roman"/>
        </w:rPr>
        <w:t xml:space="preserve"> "The online platform economy: Has growth peaked?" </w:t>
      </w:r>
      <w:r w:rsidRPr="00801138">
        <w:rPr>
          <w:rFonts w:asciiTheme="majorHAnsi" w:hAnsiTheme="majorHAnsi" w:cs="Times New Roman"/>
          <w:i/>
          <w:iCs/>
        </w:rPr>
        <w:t>JPMorgan Chase Institute</w:t>
      </w:r>
      <w:r w:rsidRPr="00801138">
        <w:rPr>
          <w:rFonts w:asciiTheme="majorHAnsi" w:hAnsiTheme="majorHAnsi" w:cs="Times New Roman"/>
        </w:rPr>
        <w:t xml:space="preserve">. </w:t>
      </w:r>
      <w:proofErr w:type="gramStart"/>
      <w:r w:rsidRPr="00801138">
        <w:rPr>
          <w:rFonts w:asciiTheme="majorHAnsi" w:hAnsiTheme="majorHAnsi" w:cs="Times New Roman"/>
        </w:rPr>
        <w:t>Geneva Association.</w:t>
      </w:r>
      <w:proofErr w:type="gramEnd"/>
      <w:r w:rsidRPr="00801138">
        <w:rPr>
          <w:rFonts w:asciiTheme="majorHAnsi" w:hAnsiTheme="majorHAnsi" w:cs="Times New Roman"/>
        </w:rPr>
        <w:t xml:space="preserve"> (2022). </w:t>
      </w:r>
      <w:r w:rsidRPr="00801138">
        <w:rPr>
          <w:rFonts w:asciiTheme="majorHAnsi" w:hAnsiTheme="majorHAnsi" w:cs="Times New Roman"/>
          <w:i/>
          <w:iCs/>
        </w:rPr>
        <w:t>Gig Economy Work: Mind the Protection Gaps</w:t>
      </w:r>
      <w:r w:rsidRPr="00801138">
        <w:rPr>
          <w:rFonts w:asciiTheme="majorHAnsi" w:hAnsiTheme="majorHAnsi" w:cs="Times New Roman"/>
        </w:rPr>
        <w:t xml:space="preserve">. </w:t>
      </w:r>
      <w:proofErr w:type="gramStart"/>
      <w:r w:rsidRPr="00801138">
        <w:rPr>
          <w:rFonts w:asciiTheme="majorHAnsi" w:hAnsiTheme="majorHAnsi" w:cs="Times New Roman"/>
        </w:rPr>
        <w:t>March.</w:t>
      </w:r>
      <w:proofErr w:type="gramEnd"/>
    </w:p>
    <w:p w:rsidR="00BE0F3C" w:rsidRPr="00801138" w:rsidRDefault="00BE0F3C" w:rsidP="00BE0F3C">
      <w:pPr>
        <w:spacing w:line="240" w:lineRule="auto"/>
        <w:jc w:val="both"/>
        <w:rPr>
          <w:rFonts w:asciiTheme="majorHAnsi" w:hAnsiTheme="majorHAnsi" w:cs="Times New Roman"/>
        </w:rPr>
      </w:pPr>
      <w:proofErr w:type="gramStart"/>
      <w:r w:rsidRPr="00801138">
        <w:rPr>
          <w:rFonts w:asciiTheme="majorHAnsi" w:hAnsiTheme="majorHAnsi" w:cs="Times New Roman"/>
        </w:rPr>
        <w:t>Harris, S. D., &amp; Krueger, A. B. (2015).</w:t>
      </w:r>
      <w:proofErr w:type="gramEnd"/>
      <w:r w:rsidRPr="00801138">
        <w:rPr>
          <w:rFonts w:asciiTheme="majorHAnsi" w:hAnsiTheme="majorHAnsi" w:cs="Times New Roman"/>
        </w:rPr>
        <w:t xml:space="preserve"> "A proposal for modernizing labor laws for twenty-first-century work: The 'independent worker'." </w:t>
      </w:r>
      <w:proofErr w:type="gramStart"/>
      <w:r w:rsidRPr="00801138">
        <w:rPr>
          <w:rFonts w:asciiTheme="majorHAnsi" w:hAnsiTheme="majorHAnsi" w:cs="Times New Roman"/>
          <w:i/>
          <w:iCs/>
        </w:rPr>
        <w:t>The Hamilton Project Discussion Paper</w:t>
      </w:r>
      <w:r w:rsidRPr="00801138">
        <w:rPr>
          <w:rFonts w:asciiTheme="majorHAnsi" w:hAnsiTheme="majorHAnsi" w:cs="Times New Roman"/>
        </w:rPr>
        <w:t>.</w:t>
      </w:r>
      <w:proofErr w:type="gramEnd"/>
    </w:p>
    <w:p w:rsidR="00BE0F3C" w:rsidRPr="00801138" w:rsidRDefault="00BE0F3C" w:rsidP="00BE0F3C">
      <w:pPr>
        <w:spacing w:line="240" w:lineRule="auto"/>
        <w:jc w:val="both"/>
        <w:rPr>
          <w:rFonts w:asciiTheme="majorHAnsi" w:hAnsiTheme="majorHAnsi" w:cs="Times New Roman"/>
        </w:rPr>
      </w:pPr>
      <w:proofErr w:type="gramStart"/>
      <w:r w:rsidRPr="00801138">
        <w:rPr>
          <w:rFonts w:asciiTheme="majorHAnsi" w:hAnsiTheme="majorHAnsi" w:cs="Times New Roman"/>
        </w:rPr>
        <w:t>Katz, L. F., &amp; Krueger, A. B. (2019).</w:t>
      </w:r>
      <w:proofErr w:type="gramEnd"/>
      <w:r w:rsidRPr="00801138">
        <w:rPr>
          <w:rFonts w:asciiTheme="majorHAnsi" w:hAnsiTheme="majorHAnsi" w:cs="Times New Roman"/>
        </w:rPr>
        <w:t xml:space="preserve"> "The rise and nature of alternative work arrangements in the United States, 1995-2015." </w:t>
      </w:r>
      <w:r w:rsidRPr="00801138">
        <w:rPr>
          <w:rFonts w:asciiTheme="majorHAnsi" w:hAnsiTheme="majorHAnsi" w:cs="Times New Roman"/>
          <w:i/>
          <w:iCs/>
        </w:rPr>
        <w:t>ILR Review</w:t>
      </w:r>
      <w:r w:rsidRPr="00801138">
        <w:rPr>
          <w:rFonts w:asciiTheme="majorHAnsi" w:hAnsiTheme="majorHAnsi" w:cs="Times New Roman"/>
        </w:rPr>
        <w:t>, 72(2), 382-416.</w:t>
      </w:r>
    </w:p>
    <w:p w:rsidR="00BE0F3C" w:rsidRPr="00801138" w:rsidRDefault="00BE0F3C" w:rsidP="00BE0F3C">
      <w:pPr>
        <w:spacing w:line="240" w:lineRule="auto"/>
        <w:jc w:val="both"/>
        <w:rPr>
          <w:rFonts w:asciiTheme="majorHAnsi" w:hAnsiTheme="majorHAnsi" w:cs="Times New Roman"/>
        </w:rPr>
      </w:pPr>
      <w:proofErr w:type="spellStart"/>
      <w:r w:rsidRPr="00801138">
        <w:rPr>
          <w:rFonts w:asciiTheme="majorHAnsi" w:hAnsiTheme="majorHAnsi" w:cs="Times New Roman"/>
        </w:rPr>
        <w:t>Koustas</w:t>
      </w:r>
      <w:proofErr w:type="spellEnd"/>
      <w:r w:rsidRPr="00801138">
        <w:rPr>
          <w:rFonts w:asciiTheme="majorHAnsi" w:hAnsiTheme="majorHAnsi" w:cs="Times New Roman"/>
        </w:rPr>
        <w:t xml:space="preserve">, D. (2023). </w:t>
      </w:r>
      <w:proofErr w:type="gramStart"/>
      <w:r w:rsidRPr="00801138">
        <w:rPr>
          <w:rFonts w:asciiTheme="majorHAnsi" w:hAnsiTheme="majorHAnsi" w:cs="Times New Roman"/>
        </w:rPr>
        <w:t>"Consumption smoothing and the welfare cost of income volatility."</w:t>
      </w:r>
      <w:proofErr w:type="gramEnd"/>
      <w:r w:rsidRPr="00801138">
        <w:rPr>
          <w:rFonts w:asciiTheme="majorHAnsi" w:hAnsiTheme="majorHAnsi" w:cs="Times New Roman"/>
        </w:rPr>
        <w:t xml:space="preserve"> </w:t>
      </w:r>
      <w:r w:rsidRPr="00801138">
        <w:rPr>
          <w:rFonts w:asciiTheme="majorHAnsi" w:hAnsiTheme="majorHAnsi" w:cs="Times New Roman"/>
          <w:i/>
          <w:iCs/>
        </w:rPr>
        <w:t>Review of Economics and Statistics</w:t>
      </w:r>
      <w:r w:rsidRPr="00801138">
        <w:rPr>
          <w:rFonts w:asciiTheme="majorHAnsi" w:hAnsiTheme="majorHAnsi" w:cs="Times New Roman"/>
        </w:rPr>
        <w:t>, 105(2), 223-239.</w:t>
      </w:r>
    </w:p>
    <w:p w:rsidR="00BE0F3C" w:rsidRPr="00801138" w:rsidRDefault="00BE0F3C" w:rsidP="00BE0F3C">
      <w:pPr>
        <w:spacing w:line="240" w:lineRule="auto"/>
        <w:jc w:val="both"/>
        <w:rPr>
          <w:rFonts w:asciiTheme="majorHAnsi" w:hAnsiTheme="majorHAnsi" w:cs="Times New Roman"/>
        </w:rPr>
      </w:pPr>
      <w:proofErr w:type="spellStart"/>
      <w:r w:rsidRPr="00801138">
        <w:rPr>
          <w:rFonts w:asciiTheme="majorHAnsi" w:hAnsiTheme="majorHAnsi" w:cs="Times New Roman"/>
        </w:rPr>
        <w:t>Makhmanazarov</w:t>
      </w:r>
      <w:proofErr w:type="spellEnd"/>
      <w:r w:rsidRPr="00801138">
        <w:rPr>
          <w:rFonts w:asciiTheme="majorHAnsi" w:hAnsiTheme="majorHAnsi" w:cs="Times New Roman"/>
        </w:rPr>
        <w:t xml:space="preserve">, J., et al. (2025). </w:t>
      </w:r>
      <w:proofErr w:type="gramStart"/>
      <w:r w:rsidRPr="00801138">
        <w:rPr>
          <w:rFonts w:asciiTheme="majorHAnsi" w:hAnsiTheme="majorHAnsi" w:cs="Times New Roman"/>
        </w:rPr>
        <w:t>"The rise of gig economies: How freelancing is reshaping labor markets."</w:t>
      </w:r>
      <w:proofErr w:type="gramEnd"/>
      <w:r w:rsidRPr="00801138">
        <w:rPr>
          <w:rFonts w:asciiTheme="majorHAnsi" w:hAnsiTheme="majorHAnsi" w:cs="Times New Roman"/>
        </w:rPr>
        <w:t xml:space="preserve"> </w:t>
      </w:r>
      <w:r w:rsidRPr="00801138">
        <w:rPr>
          <w:rFonts w:asciiTheme="majorHAnsi" w:hAnsiTheme="majorHAnsi" w:cs="Times New Roman"/>
          <w:i/>
          <w:iCs/>
        </w:rPr>
        <w:t>Asian Journal of Economics, Business and Accounting</w:t>
      </w:r>
      <w:r w:rsidRPr="00801138">
        <w:rPr>
          <w:rFonts w:asciiTheme="majorHAnsi" w:hAnsiTheme="majorHAnsi" w:cs="Times New Roman"/>
        </w:rPr>
        <w:t>, 25(5), 503-518.</w:t>
      </w:r>
    </w:p>
    <w:p w:rsidR="00BE0F3C" w:rsidRPr="00801138" w:rsidRDefault="00BE0F3C" w:rsidP="00BE0F3C">
      <w:pPr>
        <w:spacing w:line="240" w:lineRule="auto"/>
        <w:jc w:val="both"/>
        <w:rPr>
          <w:rFonts w:asciiTheme="majorHAnsi" w:hAnsiTheme="majorHAnsi" w:cs="Times New Roman"/>
        </w:rPr>
      </w:pPr>
      <w:proofErr w:type="gramStart"/>
      <w:r w:rsidRPr="00801138">
        <w:rPr>
          <w:rFonts w:asciiTheme="majorHAnsi" w:hAnsiTheme="majorHAnsi" w:cs="Times New Roman"/>
        </w:rPr>
        <w:t xml:space="preserve">Mas, A., &amp; </w:t>
      </w:r>
      <w:proofErr w:type="spellStart"/>
      <w:r w:rsidRPr="00801138">
        <w:rPr>
          <w:rFonts w:asciiTheme="majorHAnsi" w:hAnsiTheme="majorHAnsi" w:cs="Times New Roman"/>
        </w:rPr>
        <w:t>Pallais</w:t>
      </w:r>
      <w:proofErr w:type="spellEnd"/>
      <w:r w:rsidRPr="00801138">
        <w:rPr>
          <w:rFonts w:asciiTheme="majorHAnsi" w:hAnsiTheme="majorHAnsi" w:cs="Times New Roman"/>
        </w:rPr>
        <w:t>, A. (2020).</w:t>
      </w:r>
      <w:proofErr w:type="gramEnd"/>
      <w:r w:rsidRPr="00801138">
        <w:rPr>
          <w:rFonts w:asciiTheme="majorHAnsi" w:hAnsiTheme="majorHAnsi" w:cs="Times New Roman"/>
        </w:rPr>
        <w:t xml:space="preserve"> </w:t>
      </w:r>
      <w:proofErr w:type="gramStart"/>
      <w:r w:rsidRPr="00801138">
        <w:rPr>
          <w:rFonts w:asciiTheme="majorHAnsi" w:hAnsiTheme="majorHAnsi" w:cs="Times New Roman"/>
        </w:rPr>
        <w:t>"Alternative work arrangements."</w:t>
      </w:r>
      <w:proofErr w:type="gramEnd"/>
      <w:r w:rsidRPr="00801138">
        <w:rPr>
          <w:rFonts w:asciiTheme="majorHAnsi" w:hAnsiTheme="majorHAnsi" w:cs="Times New Roman"/>
        </w:rPr>
        <w:t xml:space="preserve"> </w:t>
      </w:r>
      <w:r w:rsidRPr="00801138">
        <w:rPr>
          <w:rFonts w:asciiTheme="majorHAnsi" w:hAnsiTheme="majorHAnsi" w:cs="Times New Roman"/>
          <w:i/>
          <w:iCs/>
        </w:rPr>
        <w:t>Annual Review of Economics</w:t>
      </w:r>
      <w:r w:rsidRPr="00801138">
        <w:rPr>
          <w:rFonts w:asciiTheme="majorHAnsi" w:hAnsiTheme="majorHAnsi" w:cs="Times New Roman"/>
        </w:rPr>
        <w:t>, 12, 459-479.</w:t>
      </w:r>
    </w:p>
    <w:p w:rsidR="00BE0F3C" w:rsidRPr="00801138" w:rsidRDefault="00BE0F3C" w:rsidP="00BE0F3C">
      <w:pPr>
        <w:spacing w:line="240" w:lineRule="auto"/>
        <w:jc w:val="both"/>
        <w:rPr>
          <w:rFonts w:asciiTheme="majorHAnsi" w:hAnsiTheme="majorHAnsi" w:cs="Times New Roman"/>
        </w:rPr>
      </w:pPr>
      <w:r w:rsidRPr="00801138">
        <w:rPr>
          <w:rFonts w:asciiTheme="majorHAnsi" w:hAnsiTheme="majorHAnsi" w:cs="Times New Roman"/>
        </w:rPr>
        <w:lastRenderedPageBreak/>
        <w:t xml:space="preserve">Miller Shah LLP. (2025). "New portable benefits bill aims to help gig workers, but classification battles remain." </w:t>
      </w:r>
      <w:r w:rsidRPr="00801138">
        <w:rPr>
          <w:rFonts w:asciiTheme="majorHAnsi" w:hAnsiTheme="majorHAnsi" w:cs="Times New Roman"/>
          <w:i/>
          <w:iCs/>
        </w:rPr>
        <w:t>Miller Shah Blog</w:t>
      </w:r>
      <w:r w:rsidRPr="00801138">
        <w:rPr>
          <w:rFonts w:asciiTheme="majorHAnsi" w:hAnsiTheme="majorHAnsi" w:cs="Times New Roman"/>
        </w:rPr>
        <w:t>, July 21.</w:t>
      </w:r>
    </w:p>
    <w:p w:rsidR="00BE0F3C" w:rsidRPr="00801138" w:rsidRDefault="00BE0F3C" w:rsidP="00BE0F3C">
      <w:pPr>
        <w:spacing w:line="240" w:lineRule="auto"/>
        <w:jc w:val="both"/>
        <w:rPr>
          <w:rFonts w:asciiTheme="majorHAnsi" w:hAnsiTheme="majorHAnsi" w:cs="Times New Roman"/>
        </w:rPr>
      </w:pPr>
      <w:proofErr w:type="gramStart"/>
      <w:r w:rsidRPr="00801138">
        <w:rPr>
          <w:rFonts w:asciiTheme="majorHAnsi" w:hAnsiTheme="majorHAnsi" w:cs="Times New Roman"/>
        </w:rPr>
        <w:t xml:space="preserve">Parker, G. G., Van </w:t>
      </w:r>
      <w:proofErr w:type="spellStart"/>
      <w:r w:rsidRPr="00801138">
        <w:rPr>
          <w:rFonts w:asciiTheme="majorHAnsi" w:hAnsiTheme="majorHAnsi" w:cs="Times New Roman"/>
        </w:rPr>
        <w:t>Alstyne</w:t>
      </w:r>
      <w:proofErr w:type="spellEnd"/>
      <w:r w:rsidRPr="00801138">
        <w:rPr>
          <w:rFonts w:asciiTheme="majorHAnsi" w:hAnsiTheme="majorHAnsi" w:cs="Times New Roman"/>
        </w:rPr>
        <w:t xml:space="preserve">, M. W., &amp; </w:t>
      </w:r>
      <w:proofErr w:type="spellStart"/>
      <w:r w:rsidRPr="00801138">
        <w:rPr>
          <w:rFonts w:asciiTheme="majorHAnsi" w:hAnsiTheme="majorHAnsi" w:cs="Times New Roman"/>
        </w:rPr>
        <w:t>Choudary</w:t>
      </w:r>
      <w:proofErr w:type="spellEnd"/>
      <w:r w:rsidRPr="00801138">
        <w:rPr>
          <w:rFonts w:asciiTheme="majorHAnsi" w:hAnsiTheme="majorHAnsi" w:cs="Times New Roman"/>
        </w:rPr>
        <w:t>, S. P. (2023).</w:t>
      </w:r>
      <w:proofErr w:type="gramEnd"/>
      <w:r w:rsidRPr="00801138">
        <w:rPr>
          <w:rFonts w:asciiTheme="majorHAnsi" w:hAnsiTheme="majorHAnsi" w:cs="Times New Roman"/>
        </w:rPr>
        <w:t xml:space="preserve"> </w:t>
      </w:r>
      <w:r w:rsidRPr="00801138">
        <w:rPr>
          <w:rFonts w:asciiTheme="majorHAnsi" w:hAnsiTheme="majorHAnsi" w:cs="Times New Roman"/>
          <w:i/>
          <w:iCs/>
        </w:rPr>
        <w:t>Platform Revolution: How Networked Markets Are Transforming the Economy</w:t>
      </w:r>
      <w:r w:rsidRPr="00801138">
        <w:rPr>
          <w:rFonts w:asciiTheme="majorHAnsi" w:hAnsiTheme="majorHAnsi" w:cs="Times New Roman"/>
        </w:rPr>
        <w:t>. W.W. Norton.</w:t>
      </w:r>
    </w:p>
    <w:p w:rsidR="00BE0F3C" w:rsidRPr="00801138" w:rsidRDefault="00BE0F3C" w:rsidP="00BE0F3C">
      <w:pPr>
        <w:spacing w:line="240" w:lineRule="auto"/>
        <w:jc w:val="both"/>
        <w:rPr>
          <w:rFonts w:asciiTheme="majorHAnsi" w:hAnsiTheme="majorHAnsi" w:cs="Times New Roman"/>
        </w:rPr>
      </w:pPr>
      <w:proofErr w:type="gramStart"/>
      <w:r w:rsidRPr="00801138">
        <w:rPr>
          <w:rFonts w:asciiTheme="majorHAnsi" w:hAnsiTheme="majorHAnsi" w:cs="Times New Roman"/>
        </w:rPr>
        <w:t>Rosen, S. (1986).</w:t>
      </w:r>
      <w:proofErr w:type="gramEnd"/>
      <w:r w:rsidRPr="00801138">
        <w:rPr>
          <w:rFonts w:asciiTheme="majorHAnsi" w:hAnsiTheme="majorHAnsi" w:cs="Times New Roman"/>
        </w:rPr>
        <w:t xml:space="preserve"> </w:t>
      </w:r>
      <w:proofErr w:type="gramStart"/>
      <w:r w:rsidRPr="00801138">
        <w:rPr>
          <w:rFonts w:asciiTheme="majorHAnsi" w:hAnsiTheme="majorHAnsi" w:cs="Times New Roman"/>
        </w:rPr>
        <w:t>"The theory of equalizing differences."</w:t>
      </w:r>
      <w:proofErr w:type="gramEnd"/>
      <w:r w:rsidRPr="00801138">
        <w:rPr>
          <w:rFonts w:asciiTheme="majorHAnsi" w:hAnsiTheme="majorHAnsi" w:cs="Times New Roman"/>
        </w:rPr>
        <w:t xml:space="preserve"> </w:t>
      </w:r>
      <w:r w:rsidRPr="00801138">
        <w:rPr>
          <w:rFonts w:asciiTheme="majorHAnsi" w:hAnsiTheme="majorHAnsi" w:cs="Times New Roman"/>
          <w:i/>
          <w:iCs/>
        </w:rPr>
        <w:t>Handbook of Labor Economics</w:t>
      </w:r>
      <w:r w:rsidRPr="00801138">
        <w:rPr>
          <w:rFonts w:asciiTheme="majorHAnsi" w:hAnsiTheme="majorHAnsi" w:cs="Times New Roman"/>
        </w:rPr>
        <w:t>, 1, 641-692.</w:t>
      </w:r>
    </w:p>
    <w:p w:rsidR="00BE0F3C" w:rsidRPr="00801138" w:rsidRDefault="00BE0F3C" w:rsidP="00BE0F3C">
      <w:pPr>
        <w:spacing w:line="240" w:lineRule="auto"/>
        <w:jc w:val="both"/>
        <w:rPr>
          <w:rFonts w:asciiTheme="majorHAnsi" w:hAnsiTheme="majorHAnsi" w:cs="Times New Roman"/>
        </w:rPr>
      </w:pPr>
      <w:proofErr w:type="spellStart"/>
      <w:proofErr w:type="gramStart"/>
      <w:r w:rsidRPr="00801138">
        <w:rPr>
          <w:rFonts w:asciiTheme="majorHAnsi" w:hAnsiTheme="majorHAnsi" w:cs="Times New Roman"/>
        </w:rPr>
        <w:t>Rosenblat</w:t>
      </w:r>
      <w:proofErr w:type="spellEnd"/>
      <w:r w:rsidRPr="00801138">
        <w:rPr>
          <w:rFonts w:asciiTheme="majorHAnsi" w:hAnsiTheme="majorHAnsi" w:cs="Times New Roman"/>
        </w:rPr>
        <w:t>, A., &amp; Stark, L. (2016).</w:t>
      </w:r>
      <w:proofErr w:type="gramEnd"/>
      <w:r w:rsidRPr="00801138">
        <w:rPr>
          <w:rFonts w:asciiTheme="majorHAnsi" w:hAnsiTheme="majorHAnsi" w:cs="Times New Roman"/>
        </w:rPr>
        <w:t xml:space="preserve"> "Algorithmic labor and information asymmetries: A case study of </w:t>
      </w:r>
      <w:proofErr w:type="spellStart"/>
      <w:r w:rsidRPr="00801138">
        <w:rPr>
          <w:rFonts w:asciiTheme="majorHAnsi" w:hAnsiTheme="majorHAnsi" w:cs="Times New Roman"/>
        </w:rPr>
        <w:t>Uber's</w:t>
      </w:r>
      <w:proofErr w:type="spellEnd"/>
      <w:r w:rsidRPr="00801138">
        <w:rPr>
          <w:rFonts w:asciiTheme="majorHAnsi" w:hAnsiTheme="majorHAnsi" w:cs="Times New Roman"/>
        </w:rPr>
        <w:t xml:space="preserve"> drivers." </w:t>
      </w:r>
      <w:r w:rsidRPr="00801138">
        <w:rPr>
          <w:rFonts w:asciiTheme="majorHAnsi" w:hAnsiTheme="majorHAnsi" w:cs="Times New Roman"/>
          <w:i/>
          <w:iCs/>
        </w:rPr>
        <w:t>International Journal of Communication</w:t>
      </w:r>
      <w:r w:rsidRPr="00801138">
        <w:rPr>
          <w:rFonts w:asciiTheme="majorHAnsi" w:hAnsiTheme="majorHAnsi" w:cs="Times New Roman"/>
        </w:rPr>
        <w:t>, 10, 3758-3784.</w:t>
      </w:r>
    </w:p>
    <w:p w:rsidR="00BE0F3C" w:rsidRPr="00801138" w:rsidRDefault="00BE0F3C" w:rsidP="00BE0F3C">
      <w:pPr>
        <w:spacing w:line="240" w:lineRule="auto"/>
        <w:jc w:val="both"/>
        <w:rPr>
          <w:rFonts w:asciiTheme="majorHAnsi" w:hAnsiTheme="majorHAnsi" w:cs="Times New Roman"/>
        </w:rPr>
      </w:pPr>
      <w:proofErr w:type="gramStart"/>
      <w:r w:rsidRPr="00801138">
        <w:rPr>
          <w:rFonts w:asciiTheme="majorHAnsi" w:hAnsiTheme="majorHAnsi" w:cs="Times New Roman"/>
        </w:rPr>
        <w:t>Standing, G. (2011).</w:t>
      </w:r>
      <w:proofErr w:type="gramEnd"/>
      <w:r w:rsidRPr="00801138">
        <w:rPr>
          <w:rFonts w:asciiTheme="majorHAnsi" w:hAnsiTheme="majorHAnsi" w:cs="Times New Roman"/>
        </w:rPr>
        <w:t xml:space="preserve"> </w:t>
      </w:r>
      <w:r w:rsidRPr="00801138">
        <w:rPr>
          <w:rFonts w:asciiTheme="majorHAnsi" w:hAnsiTheme="majorHAnsi" w:cs="Times New Roman"/>
          <w:i/>
          <w:iCs/>
        </w:rPr>
        <w:t xml:space="preserve">The </w:t>
      </w:r>
      <w:proofErr w:type="spellStart"/>
      <w:r w:rsidRPr="00801138">
        <w:rPr>
          <w:rFonts w:asciiTheme="majorHAnsi" w:hAnsiTheme="majorHAnsi" w:cs="Times New Roman"/>
          <w:i/>
          <w:iCs/>
        </w:rPr>
        <w:t>Precariat</w:t>
      </w:r>
      <w:proofErr w:type="spellEnd"/>
      <w:r w:rsidRPr="00801138">
        <w:rPr>
          <w:rFonts w:asciiTheme="majorHAnsi" w:hAnsiTheme="majorHAnsi" w:cs="Times New Roman"/>
          <w:i/>
          <w:iCs/>
        </w:rPr>
        <w:t>: The New Dangerous Class</w:t>
      </w:r>
      <w:r w:rsidRPr="00801138">
        <w:rPr>
          <w:rFonts w:asciiTheme="majorHAnsi" w:hAnsiTheme="majorHAnsi" w:cs="Times New Roman"/>
        </w:rPr>
        <w:t xml:space="preserve">. </w:t>
      </w:r>
      <w:proofErr w:type="gramStart"/>
      <w:r w:rsidRPr="00801138">
        <w:rPr>
          <w:rFonts w:asciiTheme="majorHAnsi" w:hAnsiTheme="majorHAnsi" w:cs="Times New Roman"/>
        </w:rPr>
        <w:t>Bloomsbury Academic.</w:t>
      </w:r>
      <w:proofErr w:type="gramEnd"/>
    </w:p>
    <w:p w:rsidR="00BE0F3C" w:rsidRPr="00801138" w:rsidRDefault="00BE0F3C" w:rsidP="00BE0F3C">
      <w:pPr>
        <w:spacing w:line="240" w:lineRule="auto"/>
        <w:jc w:val="both"/>
        <w:rPr>
          <w:rFonts w:asciiTheme="majorHAnsi" w:hAnsiTheme="majorHAnsi" w:cs="Times New Roman"/>
        </w:rPr>
      </w:pPr>
      <w:proofErr w:type="gramStart"/>
      <w:r w:rsidRPr="00801138">
        <w:rPr>
          <w:rFonts w:asciiTheme="majorHAnsi" w:hAnsiTheme="majorHAnsi" w:cs="Times New Roman"/>
        </w:rPr>
        <w:t>The Interview Guys.</w:t>
      </w:r>
      <w:proofErr w:type="gramEnd"/>
      <w:r w:rsidRPr="00801138">
        <w:rPr>
          <w:rFonts w:asciiTheme="majorHAnsi" w:hAnsiTheme="majorHAnsi" w:cs="Times New Roman"/>
        </w:rPr>
        <w:t xml:space="preserve"> (2025). "The state of the gig economy in 2025: A comprehensive analysis." </w:t>
      </w:r>
      <w:r w:rsidRPr="00801138">
        <w:rPr>
          <w:rFonts w:asciiTheme="majorHAnsi" w:hAnsiTheme="majorHAnsi" w:cs="Times New Roman"/>
          <w:i/>
          <w:iCs/>
        </w:rPr>
        <w:t>Interview Guys Blog</w:t>
      </w:r>
      <w:r w:rsidRPr="00801138">
        <w:rPr>
          <w:rFonts w:asciiTheme="majorHAnsi" w:hAnsiTheme="majorHAnsi" w:cs="Times New Roman"/>
        </w:rPr>
        <w:t>, November 10.</w:t>
      </w:r>
    </w:p>
    <w:p w:rsidR="00BE0F3C" w:rsidRPr="00801138" w:rsidRDefault="00BE0F3C" w:rsidP="00BE0F3C">
      <w:pPr>
        <w:spacing w:line="240" w:lineRule="auto"/>
        <w:jc w:val="both"/>
        <w:rPr>
          <w:rFonts w:asciiTheme="majorHAnsi" w:hAnsiTheme="majorHAnsi" w:cs="Times New Roman"/>
        </w:rPr>
      </w:pPr>
      <w:proofErr w:type="gramStart"/>
      <w:r w:rsidRPr="00801138">
        <w:rPr>
          <w:rFonts w:asciiTheme="majorHAnsi" w:hAnsiTheme="majorHAnsi" w:cs="Times New Roman"/>
        </w:rPr>
        <w:t xml:space="preserve">Wood, A. J., Graham, M., </w:t>
      </w:r>
      <w:proofErr w:type="spellStart"/>
      <w:r w:rsidRPr="00801138">
        <w:rPr>
          <w:rFonts w:asciiTheme="majorHAnsi" w:hAnsiTheme="majorHAnsi" w:cs="Times New Roman"/>
        </w:rPr>
        <w:t>Lehdonvirta</w:t>
      </w:r>
      <w:proofErr w:type="spellEnd"/>
      <w:r w:rsidRPr="00801138">
        <w:rPr>
          <w:rFonts w:asciiTheme="majorHAnsi" w:hAnsiTheme="majorHAnsi" w:cs="Times New Roman"/>
        </w:rPr>
        <w:t xml:space="preserve">, V., &amp; </w:t>
      </w:r>
      <w:proofErr w:type="spellStart"/>
      <w:r w:rsidRPr="00801138">
        <w:rPr>
          <w:rFonts w:asciiTheme="majorHAnsi" w:hAnsiTheme="majorHAnsi" w:cs="Times New Roman"/>
        </w:rPr>
        <w:t>Hjorth</w:t>
      </w:r>
      <w:proofErr w:type="spellEnd"/>
      <w:r w:rsidRPr="00801138">
        <w:rPr>
          <w:rFonts w:asciiTheme="majorHAnsi" w:hAnsiTheme="majorHAnsi" w:cs="Times New Roman"/>
        </w:rPr>
        <w:t>, I. (2019).</w:t>
      </w:r>
      <w:proofErr w:type="gramEnd"/>
      <w:r w:rsidRPr="00801138">
        <w:rPr>
          <w:rFonts w:asciiTheme="majorHAnsi" w:hAnsiTheme="majorHAnsi" w:cs="Times New Roman"/>
        </w:rPr>
        <w:t xml:space="preserve"> "Good gig, bad gig: Autonomy and algorithmic control in the global gig economy." </w:t>
      </w:r>
      <w:r w:rsidRPr="00801138">
        <w:rPr>
          <w:rFonts w:asciiTheme="majorHAnsi" w:hAnsiTheme="majorHAnsi" w:cs="Times New Roman"/>
          <w:i/>
          <w:iCs/>
        </w:rPr>
        <w:t>Work, Employment and Society</w:t>
      </w:r>
      <w:r w:rsidRPr="00801138">
        <w:rPr>
          <w:rFonts w:asciiTheme="majorHAnsi" w:hAnsiTheme="majorHAnsi" w:cs="Times New Roman"/>
        </w:rPr>
        <w:t>, 33(1), 56-75.</w:t>
      </w:r>
    </w:p>
    <w:p w:rsidR="00BE0F3C" w:rsidRPr="00801138" w:rsidRDefault="00BE0F3C" w:rsidP="00BE0F3C">
      <w:pPr>
        <w:spacing w:line="240" w:lineRule="auto"/>
        <w:jc w:val="both"/>
        <w:rPr>
          <w:rFonts w:asciiTheme="majorHAnsi" w:hAnsiTheme="majorHAnsi" w:cs="Times New Roman"/>
        </w:rPr>
      </w:pPr>
      <w:proofErr w:type="gramStart"/>
      <w:r w:rsidRPr="00801138">
        <w:rPr>
          <w:rFonts w:asciiTheme="majorHAnsi" w:hAnsiTheme="majorHAnsi" w:cs="Times New Roman"/>
        </w:rPr>
        <w:t>World Bank.</w:t>
      </w:r>
      <w:proofErr w:type="gramEnd"/>
      <w:r w:rsidRPr="00801138">
        <w:rPr>
          <w:rFonts w:asciiTheme="majorHAnsi" w:hAnsiTheme="majorHAnsi" w:cs="Times New Roman"/>
        </w:rPr>
        <w:t xml:space="preserve"> (2023). </w:t>
      </w:r>
      <w:r w:rsidRPr="00801138">
        <w:rPr>
          <w:rFonts w:asciiTheme="majorHAnsi" w:hAnsiTheme="majorHAnsi" w:cs="Times New Roman"/>
          <w:i/>
          <w:iCs/>
        </w:rPr>
        <w:t>Working Without Borders: Online Gig Work</w:t>
      </w:r>
      <w:r w:rsidRPr="00801138">
        <w:rPr>
          <w:rFonts w:asciiTheme="majorHAnsi" w:hAnsiTheme="majorHAnsi" w:cs="Times New Roman"/>
        </w:rPr>
        <w:t>. World Development Report Background Paper.</w:t>
      </w:r>
    </w:p>
    <w:p w:rsidR="00BE0F3C" w:rsidRPr="00BE0F3C" w:rsidRDefault="00BE0F3C" w:rsidP="00BE0F3C">
      <w:pPr>
        <w:tabs>
          <w:tab w:val="right" w:pos="10800"/>
        </w:tabs>
        <w:spacing w:line="240" w:lineRule="auto"/>
        <w:jc w:val="both"/>
        <w:rPr>
          <w:rFonts w:asciiTheme="majorHAnsi" w:hAnsiTheme="majorHAnsi"/>
          <w:sz w:val="20"/>
          <w:szCs w:val="20"/>
        </w:rPr>
      </w:pPr>
    </w:p>
    <w:sectPr w:rsidR="00BE0F3C" w:rsidRPr="00BE0F3C" w:rsidSect="001D45B8">
      <w:headerReference w:type="default" r:id="rId17"/>
      <w:footerReference w:type="default" r:id="rId1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4A3" w:rsidRDefault="008344A3" w:rsidP="00BE0F3C">
      <w:pPr>
        <w:spacing w:after="0" w:line="240" w:lineRule="auto"/>
      </w:pPr>
      <w:r>
        <w:separator/>
      </w:r>
    </w:p>
  </w:endnote>
  <w:endnote w:type="continuationSeparator" w:id="0">
    <w:p w:rsidR="008344A3" w:rsidRDefault="008344A3" w:rsidP="00BE0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957"/>
      <w:gridCol w:w="1102"/>
      <w:gridCol w:w="4957"/>
    </w:tblGrid>
    <w:tr w:rsidR="00BE0F3C">
      <w:trPr>
        <w:trHeight w:val="151"/>
      </w:trPr>
      <w:tc>
        <w:tcPr>
          <w:tcW w:w="2250" w:type="pct"/>
          <w:tcBorders>
            <w:bottom w:val="single" w:sz="4" w:space="0" w:color="4F81BD" w:themeColor="accent1"/>
          </w:tcBorders>
        </w:tcPr>
        <w:p w:rsidR="00BE0F3C" w:rsidRDefault="00BE0F3C">
          <w:pPr>
            <w:pStyle w:val="Header"/>
            <w:rPr>
              <w:rFonts w:asciiTheme="majorHAnsi" w:eastAsiaTheme="majorEastAsia" w:hAnsiTheme="majorHAnsi" w:cstheme="majorBidi"/>
              <w:b/>
              <w:bCs/>
            </w:rPr>
          </w:pPr>
        </w:p>
      </w:tc>
      <w:tc>
        <w:tcPr>
          <w:tcW w:w="500" w:type="pct"/>
          <w:vMerge w:val="restart"/>
          <w:noWrap/>
          <w:vAlign w:val="center"/>
        </w:tcPr>
        <w:p w:rsidR="00BE0F3C" w:rsidRPr="00BE0F3C" w:rsidRDefault="00BE0F3C">
          <w:pPr>
            <w:pStyle w:val="NoSpacing"/>
            <w:rPr>
              <w:rFonts w:asciiTheme="majorHAnsi" w:eastAsiaTheme="majorEastAsia" w:hAnsiTheme="majorHAnsi" w:cstheme="majorBidi"/>
            </w:rPr>
          </w:pPr>
          <w:r w:rsidRPr="00BE0F3C">
            <w:rPr>
              <w:rFonts w:asciiTheme="majorHAnsi" w:eastAsiaTheme="majorEastAsia" w:hAnsiTheme="majorHAnsi" w:cstheme="majorBidi"/>
              <w:b/>
              <w:bCs/>
              <w:sz w:val="20"/>
            </w:rPr>
            <w:t xml:space="preserve">Page </w:t>
          </w:r>
          <w:r w:rsidRPr="00BE0F3C">
            <w:rPr>
              <w:rFonts w:asciiTheme="majorHAnsi" w:hAnsiTheme="majorHAnsi"/>
              <w:sz w:val="20"/>
            </w:rPr>
            <w:fldChar w:fldCharType="begin"/>
          </w:r>
          <w:r w:rsidRPr="00BE0F3C">
            <w:rPr>
              <w:rFonts w:asciiTheme="majorHAnsi" w:hAnsiTheme="majorHAnsi"/>
              <w:sz w:val="20"/>
            </w:rPr>
            <w:instrText xml:space="preserve"> PAGE  \* MERGEFORMAT </w:instrText>
          </w:r>
          <w:r w:rsidRPr="00BE0F3C">
            <w:rPr>
              <w:rFonts w:asciiTheme="majorHAnsi" w:hAnsiTheme="majorHAnsi"/>
              <w:sz w:val="20"/>
            </w:rPr>
            <w:fldChar w:fldCharType="separate"/>
          </w:r>
          <w:r w:rsidR="006B21AD" w:rsidRPr="006B21AD">
            <w:rPr>
              <w:rFonts w:asciiTheme="majorHAnsi" w:eastAsiaTheme="majorEastAsia" w:hAnsiTheme="majorHAnsi" w:cstheme="majorBidi"/>
              <w:b/>
              <w:bCs/>
              <w:noProof/>
              <w:sz w:val="20"/>
            </w:rPr>
            <w:t>1</w:t>
          </w:r>
          <w:r w:rsidRPr="00BE0F3C">
            <w:rPr>
              <w:rFonts w:asciiTheme="majorHAnsi" w:eastAsiaTheme="majorEastAsia" w:hAnsiTheme="majorHAnsi" w:cstheme="majorBidi"/>
              <w:b/>
              <w:bCs/>
              <w:noProof/>
              <w:sz w:val="20"/>
            </w:rPr>
            <w:fldChar w:fldCharType="end"/>
          </w:r>
        </w:p>
      </w:tc>
      <w:tc>
        <w:tcPr>
          <w:tcW w:w="2250" w:type="pct"/>
          <w:tcBorders>
            <w:bottom w:val="single" w:sz="4" w:space="0" w:color="4F81BD" w:themeColor="accent1"/>
          </w:tcBorders>
        </w:tcPr>
        <w:p w:rsidR="00BE0F3C" w:rsidRDefault="00BE0F3C">
          <w:pPr>
            <w:pStyle w:val="Header"/>
            <w:rPr>
              <w:rFonts w:asciiTheme="majorHAnsi" w:eastAsiaTheme="majorEastAsia" w:hAnsiTheme="majorHAnsi" w:cstheme="majorBidi"/>
              <w:b/>
              <w:bCs/>
            </w:rPr>
          </w:pPr>
        </w:p>
      </w:tc>
    </w:tr>
    <w:tr w:rsidR="00BE0F3C">
      <w:trPr>
        <w:trHeight w:val="150"/>
      </w:trPr>
      <w:tc>
        <w:tcPr>
          <w:tcW w:w="2250" w:type="pct"/>
          <w:tcBorders>
            <w:top w:val="single" w:sz="4" w:space="0" w:color="4F81BD" w:themeColor="accent1"/>
          </w:tcBorders>
        </w:tcPr>
        <w:p w:rsidR="00BE0F3C" w:rsidRDefault="00BE0F3C">
          <w:pPr>
            <w:pStyle w:val="Header"/>
            <w:rPr>
              <w:rFonts w:asciiTheme="majorHAnsi" w:eastAsiaTheme="majorEastAsia" w:hAnsiTheme="majorHAnsi" w:cstheme="majorBidi"/>
              <w:b/>
              <w:bCs/>
            </w:rPr>
          </w:pPr>
        </w:p>
      </w:tc>
      <w:tc>
        <w:tcPr>
          <w:tcW w:w="500" w:type="pct"/>
          <w:vMerge/>
        </w:tcPr>
        <w:p w:rsidR="00BE0F3C" w:rsidRDefault="00BE0F3C">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BE0F3C" w:rsidRDefault="00BE0F3C">
          <w:pPr>
            <w:pStyle w:val="Header"/>
            <w:rPr>
              <w:rFonts w:asciiTheme="majorHAnsi" w:eastAsiaTheme="majorEastAsia" w:hAnsiTheme="majorHAnsi" w:cstheme="majorBidi"/>
              <w:b/>
              <w:bCs/>
            </w:rPr>
          </w:pPr>
        </w:p>
      </w:tc>
    </w:tr>
  </w:tbl>
  <w:p w:rsidR="00BE0F3C" w:rsidRDefault="00BE0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4A3" w:rsidRDefault="008344A3" w:rsidP="00BE0F3C">
      <w:pPr>
        <w:spacing w:after="0" w:line="240" w:lineRule="auto"/>
      </w:pPr>
      <w:r>
        <w:separator/>
      </w:r>
    </w:p>
  </w:footnote>
  <w:footnote w:type="continuationSeparator" w:id="0">
    <w:p w:rsidR="008344A3" w:rsidRDefault="008344A3" w:rsidP="00BE0F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138" w:rsidRDefault="00801138">
    <w:pPr>
      <w:pStyle w:val="Header"/>
      <w:jc w:val="right"/>
      <w:rPr>
        <w:color w:val="4F81BD" w:themeColor="accent1"/>
      </w:rPr>
    </w:pPr>
    <w:r>
      <w:rPr>
        <w:noProof/>
        <w:color w:val="4F81BD" w:themeColor="accent1"/>
      </w:rPr>
      <mc:AlternateContent>
        <mc:Choice Requires="wps">
          <w:drawing>
            <wp:anchor distT="0" distB="0" distL="114300" distR="114300" simplePos="0" relativeHeight="251659264" behindDoc="0" locked="0" layoutInCell="1" allowOverlap="1" wp14:anchorId="4CAC775D" wp14:editId="0F6BFEDC">
              <wp:simplePos x="0" y="0"/>
              <wp:positionH relativeFrom="margin">
                <wp:align>center</wp:align>
              </wp:positionH>
              <wp:positionV relativeFrom="page">
                <wp:align>top</wp:align>
              </wp:positionV>
              <wp:extent cx="5943600" cy="777240"/>
              <wp:effectExtent l="0" t="0" r="0" b="0"/>
              <wp:wrapNone/>
              <wp:docPr id="59" name="Rectangle 4"/>
              <wp:cNvGraphicFramePr/>
              <a:graphic xmlns:a="http://schemas.openxmlformats.org/drawingml/2006/main">
                <a:graphicData uri="http://schemas.microsoft.com/office/word/2010/wordprocessingShape">
                  <wps:wsp>
                    <wps:cNvSpPr/>
                    <wps:spPr>
                      <a:xfrm>
                        <a:off x="0" y="0"/>
                        <a:ext cx="5943600" cy="7772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01138" w:rsidRPr="00801138" w:rsidRDefault="00801138" w:rsidP="00801138">
                          <w:pPr>
                            <w:jc w:val="center"/>
                            <w:rPr>
                              <w:rFonts w:asciiTheme="majorHAnsi" w:hAnsiTheme="majorHAnsi"/>
                              <w:b/>
                              <w:sz w:val="28"/>
                            </w:rPr>
                          </w:pPr>
                          <w:r w:rsidRPr="00801138">
                            <w:rPr>
                              <w:rFonts w:asciiTheme="majorHAnsi" w:hAnsiTheme="majorHAnsi"/>
                              <w:b/>
                              <w:sz w:val="28"/>
                            </w:rPr>
                            <w:t>CARC Research in Soc</w:t>
                          </w:r>
                          <w:r w:rsidR="006B21AD">
                            <w:rPr>
                              <w:rFonts w:asciiTheme="majorHAnsi" w:hAnsiTheme="majorHAnsi"/>
                              <w:b/>
                              <w:sz w:val="28"/>
                            </w:rPr>
                            <w:t>ial Sciences 4(1) (2025) 1-14</w:t>
                          </w:r>
                        </w:p>
                      </w:txbxContent>
                    </wps:txbx>
                    <wps:bodyPr rtlCol="0" anchor="ctr"/>
                  </wps:wsp>
                </a:graphicData>
              </a:graphic>
              <wp14:sizeRelH relativeFrom="margin">
                <wp14:pctWidth>100000</wp14:pctWidth>
              </wp14:sizeRelH>
              <wp14:sizeRelV relativeFrom="topMargin">
                <wp14:pctHeight>85000</wp14:pctHeight>
              </wp14:sizeRelV>
            </wp:anchor>
          </w:drawing>
        </mc:Choice>
        <mc:Fallback>
          <w:pict>
            <v:rect id="Rectangle 4" o:spid="_x0000_s1028" style="position:absolute;left:0;text-align:left;margin-left:0;margin-top:0;width:468pt;height:61.2pt;z-index:251659264;visibility:visible;mso-wrap-style:square;mso-width-percent:1000;mso-height-percent:850;mso-wrap-distance-left:9pt;mso-wrap-distance-top:0;mso-wrap-distance-right:9pt;mso-wrap-distance-bottom:0;mso-position-horizontal:center;mso-position-horizontal-relative:margin;mso-position-vertical:top;mso-position-vertical-relative:page;mso-width-percent:1000;mso-height-percent:85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" fillcolor="#4f81bd [3204]" stroked="f" strokeweight="2pt">
              <v:textbox>
                <w:txbxContent>
                  <w:p w:rsidR="00801138" w:rsidRPr="00801138" w:rsidRDefault="00801138" w:rsidP="00801138">
                    <w:pPr>
                      <w:jc w:val="center"/>
                      <w:rPr>
                        <w:rFonts w:asciiTheme="majorHAnsi" w:hAnsiTheme="majorHAnsi"/>
                        <w:b/>
                        <w:sz w:val="28"/>
                      </w:rPr>
                    </w:pPr>
                    <w:r w:rsidRPr="00801138">
                      <w:rPr>
                        <w:rFonts w:asciiTheme="majorHAnsi" w:hAnsiTheme="majorHAnsi"/>
                        <w:b/>
                        <w:sz w:val="28"/>
                      </w:rPr>
                      <w:t>CARC Research in Soc</w:t>
                    </w:r>
                    <w:r w:rsidR="006B21AD">
                      <w:rPr>
                        <w:rFonts w:asciiTheme="majorHAnsi" w:hAnsiTheme="majorHAnsi"/>
                        <w:b/>
                        <w:sz w:val="28"/>
                      </w:rPr>
                      <w:t>ial Sciences 4(1) (2025) 1-14</w:t>
                    </w:r>
                  </w:p>
                </w:txbxContent>
              </v:textbox>
              <w10:wrap anchorx="margin" anchory="page"/>
            </v:rect>
          </w:pict>
        </mc:Fallback>
      </mc:AlternateContent>
    </w:r>
  </w:p>
  <w:p w:rsidR="00BE0F3C" w:rsidRPr="00BE0F3C" w:rsidRDefault="00BE0F3C">
    <w:pPr>
      <w:pStyle w:val="Header"/>
      <w:rPr>
        <w:rFonts w:asciiTheme="majorHAnsi" w:hAnsiTheme="majorHAnsi"/>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206"/>
    <w:rsid w:val="001D45B8"/>
    <w:rsid w:val="00304206"/>
    <w:rsid w:val="005C22CC"/>
    <w:rsid w:val="006B21AD"/>
    <w:rsid w:val="00801138"/>
    <w:rsid w:val="008344A3"/>
    <w:rsid w:val="00BE0F3C"/>
    <w:rsid w:val="00E44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04206"/>
    <w:pPr>
      <w:widowControl w:val="0"/>
      <w:autoSpaceDE w:val="0"/>
      <w:autoSpaceDN w:val="0"/>
      <w:spacing w:after="0" w:line="240" w:lineRule="auto"/>
    </w:pPr>
    <w:rPr>
      <w:rFonts w:ascii="Cambria" w:eastAsia="Cambria" w:hAnsi="Cambria" w:cs="Cambria"/>
      <w:sz w:val="18"/>
      <w:szCs w:val="18"/>
    </w:rPr>
  </w:style>
  <w:style w:type="character" w:customStyle="1" w:styleId="BodyTextChar">
    <w:name w:val="Body Text Char"/>
    <w:basedOn w:val="DefaultParagraphFont"/>
    <w:link w:val="BodyText"/>
    <w:uiPriority w:val="1"/>
    <w:rsid w:val="00304206"/>
    <w:rPr>
      <w:rFonts w:ascii="Cambria" w:eastAsia="Cambria" w:hAnsi="Cambria" w:cs="Cambria"/>
      <w:sz w:val="18"/>
      <w:szCs w:val="18"/>
    </w:rPr>
  </w:style>
  <w:style w:type="table" w:styleId="TableGrid">
    <w:name w:val="Table Grid"/>
    <w:basedOn w:val="TableNormal"/>
    <w:uiPriority w:val="39"/>
    <w:rsid w:val="00BE0F3C"/>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0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F3C"/>
  </w:style>
  <w:style w:type="paragraph" w:styleId="Footer">
    <w:name w:val="footer"/>
    <w:basedOn w:val="Normal"/>
    <w:link w:val="FooterChar"/>
    <w:uiPriority w:val="99"/>
    <w:unhideWhenUsed/>
    <w:rsid w:val="00BE0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F3C"/>
  </w:style>
  <w:style w:type="paragraph" w:styleId="NoSpacing">
    <w:name w:val="No Spacing"/>
    <w:link w:val="NoSpacingChar"/>
    <w:uiPriority w:val="1"/>
    <w:qFormat/>
    <w:rsid w:val="00BE0F3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E0F3C"/>
    <w:rPr>
      <w:rFonts w:eastAsiaTheme="minorEastAsia"/>
      <w:lang w:eastAsia="ja-JP"/>
    </w:rPr>
  </w:style>
  <w:style w:type="paragraph" w:styleId="BalloonText">
    <w:name w:val="Balloon Text"/>
    <w:basedOn w:val="Normal"/>
    <w:link w:val="BalloonTextChar"/>
    <w:uiPriority w:val="99"/>
    <w:semiHidden/>
    <w:unhideWhenUsed/>
    <w:rsid w:val="00BE0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F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04206"/>
    <w:pPr>
      <w:widowControl w:val="0"/>
      <w:autoSpaceDE w:val="0"/>
      <w:autoSpaceDN w:val="0"/>
      <w:spacing w:after="0" w:line="240" w:lineRule="auto"/>
    </w:pPr>
    <w:rPr>
      <w:rFonts w:ascii="Cambria" w:eastAsia="Cambria" w:hAnsi="Cambria" w:cs="Cambria"/>
      <w:sz w:val="18"/>
      <w:szCs w:val="18"/>
    </w:rPr>
  </w:style>
  <w:style w:type="character" w:customStyle="1" w:styleId="BodyTextChar">
    <w:name w:val="Body Text Char"/>
    <w:basedOn w:val="DefaultParagraphFont"/>
    <w:link w:val="BodyText"/>
    <w:uiPriority w:val="1"/>
    <w:rsid w:val="00304206"/>
    <w:rPr>
      <w:rFonts w:ascii="Cambria" w:eastAsia="Cambria" w:hAnsi="Cambria" w:cs="Cambria"/>
      <w:sz w:val="18"/>
      <w:szCs w:val="18"/>
    </w:rPr>
  </w:style>
  <w:style w:type="table" w:styleId="TableGrid">
    <w:name w:val="Table Grid"/>
    <w:basedOn w:val="TableNormal"/>
    <w:uiPriority w:val="39"/>
    <w:rsid w:val="00BE0F3C"/>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0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F3C"/>
  </w:style>
  <w:style w:type="paragraph" w:styleId="Footer">
    <w:name w:val="footer"/>
    <w:basedOn w:val="Normal"/>
    <w:link w:val="FooterChar"/>
    <w:uiPriority w:val="99"/>
    <w:unhideWhenUsed/>
    <w:rsid w:val="00BE0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F3C"/>
  </w:style>
  <w:style w:type="paragraph" w:styleId="NoSpacing">
    <w:name w:val="No Spacing"/>
    <w:link w:val="NoSpacingChar"/>
    <w:uiPriority w:val="1"/>
    <w:qFormat/>
    <w:rsid w:val="00BE0F3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E0F3C"/>
    <w:rPr>
      <w:rFonts w:eastAsiaTheme="minorEastAsia"/>
      <w:lang w:eastAsia="ja-JP"/>
    </w:rPr>
  </w:style>
  <w:style w:type="paragraph" w:styleId="BalloonText">
    <w:name w:val="Balloon Text"/>
    <w:basedOn w:val="Normal"/>
    <w:link w:val="BalloonTextChar"/>
    <w:uiPriority w:val="99"/>
    <w:semiHidden/>
    <w:unhideWhenUsed/>
    <w:rsid w:val="00BE0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F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carc.com.pk/index.php/CRISS/index" TargetMode="External"/><Relationship Id="rId13" Type="http://schemas.openxmlformats.org/officeDocument/2006/relationships/hyperlink" Target="https://journals.carc.com.pk/index.php/CRISS/issue/view/10"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journals.carc.com.pk/index.php/CRIS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carc.com.pk/index.php/CRISS/issue/view/10" TargetMode="External"/><Relationship Id="rId5" Type="http://schemas.openxmlformats.org/officeDocument/2006/relationships/webSettings" Target="webSettings.xml"/><Relationship Id="rId15" Type="http://schemas.openxmlformats.org/officeDocument/2006/relationships/hyperlink" Target="https://crossmark.crossref.org/dialog/?doi=10.58329/criss.v3i3.148&amp;amp;domain=pdf&amp;amp;date_stamp=2024-10-10"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journals.carc.com.pk/index.php/CRI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5607</Words>
  <Characters>31966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nlp</dc:creator>
  <cp:lastModifiedBy>nlp</cp:lastModifiedBy>
  <cp:revision>2</cp:revision>
  <dcterms:created xsi:type="dcterms:W3CDTF">2025-12-20T15:33:00Z</dcterms:created>
  <dcterms:modified xsi:type="dcterms:W3CDTF">2025-12-20T17:06:00Z</dcterms:modified>
</cp:coreProperties>
</file>