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206" w:rsidRDefault="00304206" w:rsidP="00F7669A">
      <w:pPr>
        <w:pStyle w:val="BodyText"/>
        <w:ind w:right="424"/>
        <w:rPr>
          <w:color w:val="231F20"/>
          <w:w w:val="130"/>
        </w:rPr>
      </w:pPr>
      <w:r>
        <w:rPr>
          <w:noProof/>
        </w:rPr>
        <mc:AlternateContent>
          <mc:Choice Requires="wps">
            <w:drawing>
              <wp:anchor distT="0" distB="0" distL="114300" distR="114300" simplePos="0" relativeHeight="251664384" behindDoc="0" locked="0" layoutInCell="1" allowOverlap="1" wp14:anchorId="6EB06BD3" wp14:editId="01256A61">
                <wp:simplePos x="0" y="0"/>
                <wp:positionH relativeFrom="column">
                  <wp:posOffset>5672454</wp:posOffset>
                </wp:positionH>
                <wp:positionV relativeFrom="paragraph">
                  <wp:posOffset>47625</wp:posOffset>
                </wp:positionV>
                <wp:extent cx="1299845" cy="257175"/>
                <wp:effectExtent l="0" t="0" r="14605" b="28575"/>
                <wp:wrapNone/>
                <wp:docPr id="24" name="Text Box 24"/>
                <wp:cNvGraphicFramePr/>
                <a:graphic xmlns:a="http://schemas.openxmlformats.org/drawingml/2006/main">
                  <a:graphicData uri="http://schemas.microsoft.com/office/word/2010/wordprocessingShape">
                    <wps:wsp>
                      <wps:cNvSpPr txBox="1"/>
                      <wps:spPr>
                        <a:xfrm>
                          <a:off x="0" y="0"/>
                          <a:ext cx="129984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4206" w:rsidRPr="00304206" w:rsidRDefault="00304206">
                            <w:pPr>
                              <w:rPr>
                                <w:rFonts w:asciiTheme="majorHAnsi" w:hAnsiTheme="majorHAnsi"/>
                              </w:rPr>
                            </w:pPr>
                            <w:r w:rsidRPr="00304206">
                              <w:rPr>
                                <w:rFonts w:asciiTheme="majorHAnsi" w:hAnsiTheme="majorHAnsi"/>
                                <w:sz w:val="18"/>
                              </w:rPr>
                              <w:t>01-38-CRISS-579-148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left:0;text-align:left;margin-left:446.65pt;margin-top:3.75pt;width:102.3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" fillcolor="white [3201]" strokeweight=".5pt">
                <v:textbox>
                  <w:txbxContent>
                    <w:p w:rsidR="00304206" w:rsidRPr="00304206" w:rsidRDefault="00304206">
                      <w:pPr>
                        <w:rPr>
                          <w:rFonts w:asciiTheme="majorHAnsi" w:hAnsiTheme="majorHAnsi"/>
                        </w:rPr>
                      </w:pPr>
                      <w:r w:rsidRPr="00304206">
                        <w:rPr>
                          <w:rFonts w:asciiTheme="majorHAnsi" w:hAnsiTheme="majorHAnsi"/>
                          <w:sz w:val="18"/>
                        </w:rPr>
                        <w:t>01-38-CRISS-579-148</w:t>
                      </w:r>
                    </w:p>
                  </w:txbxContent>
                </v:textbox>
              </v:shape>
            </w:pict>
          </mc:Fallback>
        </mc:AlternateContent>
      </w:r>
    </w:p>
    <w:p w:rsidR="00304206" w:rsidRDefault="00304206" w:rsidP="00304206">
      <w:pPr>
        <w:pStyle w:val="BodyText"/>
        <w:ind w:left="142" w:right="424"/>
        <w:jc w:val="center"/>
      </w:pPr>
      <w:r>
        <w:rPr>
          <w:noProof/>
        </w:rPr>
        <w:drawing>
          <wp:anchor distT="0" distB="0" distL="114300" distR="114300" simplePos="0" relativeHeight="251670528" behindDoc="0" locked="0" layoutInCell="1" allowOverlap="1" wp14:anchorId="52E6FE2C" wp14:editId="02B1BB93">
            <wp:simplePos x="0" y="0"/>
            <wp:positionH relativeFrom="column">
              <wp:posOffset>-104774</wp:posOffset>
            </wp:positionH>
            <wp:positionV relativeFrom="paragraph">
              <wp:posOffset>189865</wp:posOffset>
            </wp:positionV>
            <wp:extent cx="1181100" cy="1038225"/>
            <wp:effectExtent l="0" t="0" r="0" b="9525"/>
            <wp:wrapNone/>
            <wp:docPr id="72" name="Image 72">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72" name="Image 72">
                      <a:hlinkClick r:id="rId9"/>
                    </pic:cNvPr>
                    <pic:cNvPicPr/>
                  </pic:nvPicPr>
                  <pic:blipFill>
                    <a:blip r:embed="rId10" cstate="print"/>
                    <a:stretch>
                      <a:fillRect/>
                    </a:stretch>
                  </pic:blipFill>
                  <pic:spPr>
                    <a:xfrm>
                      <a:off x="0" y="0"/>
                      <a:ext cx="1184214" cy="104096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752DD527" wp14:editId="7A5736E5">
            <wp:simplePos x="0" y="0"/>
            <wp:positionH relativeFrom="column">
              <wp:posOffset>5797550</wp:posOffset>
            </wp:positionH>
            <wp:positionV relativeFrom="paragraph">
              <wp:posOffset>185420</wp:posOffset>
            </wp:positionV>
            <wp:extent cx="1002665" cy="1143000"/>
            <wp:effectExtent l="0" t="0" r="6985" b="0"/>
            <wp:wrapNone/>
            <wp:docPr id="71" name="Image 71">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71" name="Image 71">
                      <a:hlinkClick r:id="rId9"/>
                    </pic:cNvPr>
                    <pic:cNvPicPr/>
                  </pic:nvPicPr>
                  <pic:blipFill>
                    <a:blip r:embed="rId11" cstate="print"/>
                    <a:stretch>
                      <a:fillRect/>
                    </a:stretch>
                  </pic:blipFill>
                  <pic:spPr>
                    <a:xfrm>
                      <a:off x="0" y="0"/>
                      <a:ext cx="1002665" cy="1143000"/>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0E96F461" wp14:editId="5029F877">
                <wp:simplePos x="0" y="0"/>
                <wp:positionH relativeFrom="column">
                  <wp:posOffset>111125</wp:posOffset>
                </wp:positionH>
                <wp:positionV relativeFrom="paragraph">
                  <wp:posOffset>95885</wp:posOffset>
                </wp:positionV>
                <wp:extent cx="6515100" cy="47625"/>
                <wp:effectExtent l="0" t="0" r="19050" b="0"/>
                <wp:wrapNone/>
                <wp:docPr id="50" name="Graphic 50"/>
                <wp:cNvGraphicFramePr/>
                <a:graphic xmlns:a="http://schemas.openxmlformats.org/drawingml/2006/main">
                  <a:graphicData uri="http://schemas.microsoft.com/office/word/2010/wordprocessingShape">
                    <wps:wsp>
                      <wps:cNvSpPr/>
                      <wps:spPr>
                        <a:xfrm flipV="1">
                          <a:off x="0" y="0"/>
                          <a:ext cx="6515100" cy="47625"/>
                        </a:xfrm>
                        <a:custGeom>
                          <a:avLst/>
                          <a:gdLst/>
                          <a:ahLst/>
                          <a:cxnLst/>
                          <a:rect l="l" t="t" r="r" b="b"/>
                          <a:pathLst>
                            <a:path w="5387975">
                              <a:moveTo>
                                <a:pt x="0" y="0"/>
                              </a:moveTo>
                              <a:lnTo>
                                <a:pt x="5387898" y="0"/>
                              </a:lnTo>
                            </a:path>
                          </a:pathLst>
                        </a:custGeom>
                        <a:ln w="19050"/>
                      </wps:spPr>
                      <wps:style>
                        <a:lnRef idx="1">
                          <a:schemeClr val="dk1"/>
                        </a:lnRef>
                        <a:fillRef idx="0">
                          <a:schemeClr val="dk1"/>
                        </a:fillRef>
                        <a:effectRef idx="0">
                          <a:schemeClr val="dk1"/>
                        </a:effectRef>
                        <a:fontRef idx="minor">
                          <a:schemeClr val="tx1"/>
                        </a:fontRef>
                      </wps:style>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Graphic 50" o:spid="_x0000_s1026" style="position:absolute;margin-left:8.75pt;margin-top:7.55pt;width:513pt;height:3.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38797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" path="m,l5387898,e" filled="f" strokecolor="black [3040]" strokeweight="1.5pt">
                <v:path arrowok="t"/>
              </v:shape>
            </w:pict>
          </mc:Fallback>
        </mc:AlternateContent>
      </w:r>
      <w:r>
        <w:rPr>
          <w:color w:val="231F20"/>
          <w:w w:val="130"/>
        </w:rPr>
        <w:t>CARC</w:t>
      </w:r>
      <w:r>
        <w:rPr>
          <w:color w:val="231F20"/>
          <w:spacing w:val="7"/>
          <w:w w:val="130"/>
        </w:rPr>
        <w:t xml:space="preserve"> </w:t>
      </w:r>
      <w:r>
        <w:rPr>
          <w:color w:val="231F20"/>
          <w:w w:val="130"/>
        </w:rPr>
        <w:t>Research</w:t>
      </w:r>
      <w:r>
        <w:rPr>
          <w:color w:val="231F20"/>
          <w:spacing w:val="7"/>
          <w:w w:val="130"/>
        </w:rPr>
        <w:t xml:space="preserve"> </w:t>
      </w:r>
      <w:r>
        <w:rPr>
          <w:color w:val="231F20"/>
          <w:w w:val="130"/>
        </w:rPr>
        <w:t>in</w:t>
      </w:r>
      <w:r>
        <w:rPr>
          <w:color w:val="231F20"/>
          <w:spacing w:val="7"/>
          <w:w w:val="130"/>
        </w:rPr>
        <w:t xml:space="preserve"> </w:t>
      </w:r>
      <w:r>
        <w:rPr>
          <w:color w:val="231F20"/>
          <w:w w:val="130"/>
        </w:rPr>
        <w:t>Social</w:t>
      </w:r>
      <w:r>
        <w:rPr>
          <w:color w:val="231F20"/>
          <w:spacing w:val="7"/>
          <w:w w:val="130"/>
        </w:rPr>
        <w:t xml:space="preserve"> </w:t>
      </w:r>
      <w:r>
        <w:rPr>
          <w:color w:val="231F20"/>
          <w:w w:val="130"/>
        </w:rPr>
        <w:t>Sciences</w:t>
      </w:r>
      <w:r>
        <w:rPr>
          <w:color w:val="231F20"/>
          <w:spacing w:val="7"/>
          <w:w w:val="130"/>
        </w:rPr>
        <w:t xml:space="preserve"> </w:t>
      </w:r>
      <w:r w:rsidR="006B21AD">
        <w:rPr>
          <w:color w:val="231F20"/>
          <w:w w:val="130"/>
        </w:rPr>
        <w:t>4(1</w:t>
      </w:r>
      <w:r>
        <w:rPr>
          <w:color w:val="231F20"/>
          <w:w w:val="130"/>
        </w:rPr>
        <w:t>)</w:t>
      </w:r>
      <w:r>
        <w:rPr>
          <w:color w:val="231F20"/>
          <w:spacing w:val="8"/>
          <w:w w:val="130"/>
        </w:rPr>
        <w:t xml:space="preserve"> </w:t>
      </w:r>
      <w:r w:rsidR="006B21AD">
        <w:rPr>
          <w:color w:val="231F20"/>
          <w:w w:val="130"/>
        </w:rPr>
        <w:t>(2025</w:t>
      </w:r>
      <w:r>
        <w:rPr>
          <w:color w:val="231F20"/>
          <w:w w:val="130"/>
        </w:rPr>
        <w:t>)</w:t>
      </w:r>
      <w:r>
        <w:rPr>
          <w:color w:val="231F20"/>
          <w:spacing w:val="8"/>
          <w:w w:val="130"/>
        </w:rPr>
        <w:t xml:space="preserve"> </w:t>
      </w:r>
      <w:r w:rsidR="00F7669A">
        <w:rPr>
          <w:color w:val="231F20"/>
          <w:w w:val="130"/>
        </w:rPr>
        <w:t>27-40</w:t>
      </w:r>
    </w:p>
    <w:p w:rsidR="005C22CC" w:rsidRDefault="00304206" w:rsidP="00304206">
      <w:pPr>
        <w:tabs>
          <w:tab w:val="right" w:pos="10800"/>
        </w:tabs>
      </w:pPr>
      <w:r>
        <w:rPr>
          <w:noProof/>
        </w:rPr>
        <mc:AlternateContent>
          <mc:Choice Requires="wps">
            <w:drawing>
              <wp:anchor distT="0" distB="0" distL="114300" distR="114300" simplePos="0" relativeHeight="251668480" behindDoc="0" locked="0" layoutInCell="1" allowOverlap="1" wp14:anchorId="3C5CBAE3" wp14:editId="4C7A6344">
                <wp:simplePos x="0" y="0"/>
                <wp:positionH relativeFrom="column">
                  <wp:posOffset>114300</wp:posOffset>
                </wp:positionH>
                <wp:positionV relativeFrom="paragraph">
                  <wp:posOffset>1141729</wp:posOffset>
                </wp:positionV>
                <wp:extent cx="6600825" cy="47625"/>
                <wp:effectExtent l="0" t="0" r="28575" b="0"/>
                <wp:wrapNone/>
                <wp:docPr id="25" name="Graphic 50"/>
                <wp:cNvGraphicFramePr/>
                <a:graphic xmlns:a="http://schemas.openxmlformats.org/drawingml/2006/main">
                  <a:graphicData uri="http://schemas.microsoft.com/office/word/2010/wordprocessingShape">
                    <wps:wsp>
                      <wps:cNvSpPr/>
                      <wps:spPr>
                        <a:xfrm flipV="1">
                          <a:off x="0" y="0"/>
                          <a:ext cx="6600825" cy="47625"/>
                        </a:xfrm>
                        <a:custGeom>
                          <a:avLst/>
                          <a:gdLst/>
                          <a:ahLst/>
                          <a:cxnLst/>
                          <a:rect l="l" t="t" r="r" b="b"/>
                          <a:pathLst>
                            <a:path w="5387975">
                              <a:moveTo>
                                <a:pt x="0" y="0"/>
                              </a:moveTo>
                              <a:lnTo>
                                <a:pt x="5387898" y="0"/>
                              </a:lnTo>
                            </a:path>
                          </a:pathLst>
                        </a:custGeom>
                        <a:ln w="19050"/>
                      </wps:spPr>
                      <wps:style>
                        <a:lnRef idx="1">
                          <a:schemeClr val="dk1"/>
                        </a:lnRef>
                        <a:fillRef idx="0">
                          <a:schemeClr val="dk1"/>
                        </a:fillRef>
                        <a:effectRef idx="0">
                          <a:schemeClr val="dk1"/>
                        </a:effectRef>
                        <a:fontRef idx="minor">
                          <a:schemeClr val="tx1"/>
                        </a:fontRef>
                      </wps:style>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Graphic 50" o:spid="_x0000_s1026" style="position:absolute;margin-left:9pt;margin-top:89.9pt;width:519.75pt;height:3.7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38797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" path="m,l5387898,e" filled="f" strokecolor="black [3040]" strokeweight="1.5pt">
                <v:path arrowok="t"/>
              </v:shape>
            </w:pict>
          </mc:Fallback>
        </mc:AlternateContent>
      </w:r>
      <w:r>
        <w:rPr>
          <w:noProof/>
          <w:sz w:val="15"/>
        </w:rPr>
        <mc:AlternateContent>
          <mc:Choice Requires="wps">
            <w:drawing>
              <wp:anchor distT="0" distB="0" distL="0" distR="0" simplePos="0" relativeHeight="251661312" behindDoc="1" locked="0" layoutInCell="1" allowOverlap="1" wp14:anchorId="02850CC0" wp14:editId="4546D5FA">
                <wp:simplePos x="0" y="0"/>
                <wp:positionH relativeFrom="page">
                  <wp:posOffset>1616710</wp:posOffset>
                </wp:positionH>
                <wp:positionV relativeFrom="paragraph">
                  <wp:posOffset>28575</wp:posOffset>
                </wp:positionV>
                <wp:extent cx="4510405" cy="990600"/>
                <wp:effectExtent l="0" t="0" r="4445"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0405" cy="990600"/>
                        </a:xfrm>
                        <a:prstGeom prst="rect">
                          <a:avLst/>
                        </a:prstGeom>
                        <a:solidFill>
                          <a:srgbClr val="EDEDED"/>
                        </a:solidFill>
                      </wps:spPr>
                      <wps:txbx>
                        <w:txbxContent>
                          <w:p w:rsidR="00304206" w:rsidRDefault="00304206" w:rsidP="00304206">
                            <w:pPr>
                              <w:spacing w:before="54" w:line="256" w:lineRule="auto"/>
                              <w:ind w:left="1013" w:firstLine="1543"/>
                              <w:rPr>
                                <w:color w:val="000000"/>
                                <w:sz w:val="16"/>
                              </w:rPr>
                            </w:pPr>
                            <w:r>
                              <w:rPr>
                                <w:color w:val="231F20"/>
                                <w:w w:val="120"/>
                                <w:sz w:val="16"/>
                              </w:rPr>
                              <w:t xml:space="preserve">Content list available at: </w:t>
                            </w:r>
                            <w:hyperlink r:id="rId12">
                              <w:r>
                                <w:rPr>
                                  <w:color w:val="7A8082"/>
                                  <w:spacing w:val="-2"/>
                                  <w:w w:val="115"/>
                                  <w:sz w:val="16"/>
                                </w:rPr>
                                <w:t>https://journals.carc.com.pk/index.php/CRISS/issue/view/10</w:t>
                              </w:r>
                            </w:hyperlink>
                          </w:p>
                          <w:p w:rsidR="00304206" w:rsidRDefault="00304206" w:rsidP="00304206">
                            <w:pPr>
                              <w:spacing w:before="166"/>
                              <w:ind w:left="1" w:right="65"/>
                              <w:jc w:val="center"/>
                              <w:rPr>
                                <w:color w:val="000000"/>
                                <w:sz w:val="30"/>
                              </w:rPr>
                            </w:pPr>
                            <w:r>
                              <w:rPr>
                                <w:color w:val="231F20"/>
                                <w:w w:val="120"/>
                                <w:sz w:val="30"/>
                              </w:rPr>
                              <w:t>CARC</w:t>
                            </w:r>
                            <w:r>
                              <w:rPr>
                                <w:color w:val="231F20"/>
                                <w:spacing w:val="3"/>
                                <w:w w:val="120"/>
                                <w:sz w:val="30"/>
                              </w:rPr>
                              <w:t xml:space="preserve"> </w:t>
                            </w:r>
                            <w:r>
                              <w:rPr>
                                <w:color w:val="231F20"/>
                                <w:w w:val="120"/>
                                <w:sz w:val="30"/>
                              </w:rPr>
                              <w:t>Research</w:t>
                            </w:r>
                            <w:r>
                              <w:rPr>
                                <w:color w:val="231F20"/>
                                <w:spacing w:val="4"/>
                                <w:w w:val="120"/>
                                <w:sz w:val="30"/>
                              </w:rPr>
                              <w:t xml:space="preserve"> </w:t>
                            </w:r>
                            <w:r>
                              <w:rPr>
                                <w:color w:val="231F20"/>
                                <w:w w:val="120"/>
                                <w:sz w:val="30"/>
                              </w:rPr>
                              <w:t>in</w:t>
                            </w:r>
                            <w:r>
                              <w:rPr>
                                <w:color w:val="231F20"/>
                                <w:spacing w:val="4"/>
                                <w:w w:val="120"/>
                                <w:sz w:val="30"/>
                              </w:rPr>
                              <w:t xml:space="preserve"> </w:t>
                            </w:r>
                            <w:r>
                              <w:rPr>
                                <w:color w:val="231F20"/>
                                <w:w w:val="120"/>
                                <w:sz w:val="30"/>
                              </w:rPr>
                              <w:t>Social</w:t>
                            </w:r>
                            <w:r>
                              <w:rPr>
                                <w:color w:val="231F20"/>
                                <w:spacing w:val="3"/>
                                <w:w w:val="120"/>
                                <w:sz w:val="30"/>
                              </w:rPr>
                              <w:t xml:space="preserve"> </w:t>
                            </w:r>
                            <w:r>
                              <w:rPr>
                                <w:color w:val="231F20"/>
                                <w:spacing w:val="-2"/>
                                <w:w w:val="120"/>
                                <w:sz w:val="30"/>
                              </w:rPr>
                              <w:t>Sciences</w:t>
                            </w:r>
                          </w:p>
                          <w:p w:rsidR="00304206" w:rsidRDefault="00304206" w:rsidP="00304206">
                            <w:pPr>
                              <w:spacing w:before="141"/>
                              <w:ind w:right="65"/>
                              <w:jc w:val="center"/>
                              <w:rPr>
                                <w:color w:val="000000"/>
                                <w:sz w:val="16"/>
                              </w:rPr>
                            </w:pPr>
                            <w:r>
                              <w:rPr>
                                <w:color w:val="231F20"/>
                                <w:w w:val="130"/>
                                <w:sz w:val="16"/>
                              </w:rPr>
                              <w:t>Journal</w:t>
                            </w:r>
                            <w:r>
                              <w:rPr>
                                <w:color w:val="231F20"/>
                                <w:spacing w:val="-3"/>
                                <w:w w:val="130"/>
                                <w:sz w:val="16"/>
                              </w:rPr>
                              <w:t xml:space="preserve"> </w:t>
                            </w:r>
                            <w:proofErr w:type="gramStart"/>
                            <w:r>
                              <w:rPr>
                                <w:color w:val="231F20"/>
                                <w:w w:val="130"/>
                                <w:sz w:val="16"/>
                              </w:rPr>
                              <w:t>homepage</w:t>
                            </w:r>
                            <w:r>
                              <w:rPr>
                                <w:color w:val="231F20"/>
                                <w:spacing w:val="-2"/>
                                <w:w w:val="130"/>
                                <w:sz w:val="16"/>
                              </w:rPr>
                              <w:t xml:space="preserve"> </w:t>
                            </w:r>
                            <w:r>
                              <w:rPr>
                                <w:color w:val="231F20"/>
                                <w:w w:val="130"/>
                                <w:sz w:val="16"/>
                              </w:rPr>
                              <w:t>:</w:t>
                            </w:r>
                            <w:proofErr w:type="gramEnd"/>
                            <w:r>
                              <w:rPr>
                                <w:color w:val="231F20"/>
                                <w:spacing w:val="-3"/>
                                <w:w w:val="130"/>
                                <w:sz w:val="16"/>
                              </w:rPr>
                              <w:t xml:space="preserve"> </w:t>
                            </w:r>
                            <w:hyperlink r:id="rId13">
                              <w:r>
                                <w:rPr>
                                  <w:color w:val="808080"/>
                                  <w:spacing w:val="-2"/>
                                  <w:w w:val="130"/>
                                  <w:sz w:val="16"/>
                                </w:rPr>
                                <w:t>journals.carc.com.pk</w:t>
                              </w:r>
                            </w:hyperlink>
                          </w:p>
                        </w:txbxContent>
                      </wps:txbx>
                      <wps:bodyPr wrap="square" lIns="0" tIns="0" rIns="0" bIns="0" rtlCol="0">
                        <a:noAutofit/>
                      </wps:bodyPr>
                    </wps:wsp>
                  </a:graphicData>
                </a:graphic>
                <wp14:sizeRelV relativeFrom="margin">
                  <wp14:pctHeight>0</wp14:pctHeight>
                </wp14:sizeRelV>
              </wp:anchor>
            </w:drawing>
          </mc:Choice>
          <mc:Fallback>
            <w:pict>
              <v:shape id="Textbox 2" o:spid="_x0000_s1027" type="#_x0000_t202" style="position:absolute;margin-left:127.3pt;margin-top:2.25pt;width:355.15pt;height:78pt;z-index:-25165516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" fillcolor="#ededed" stroked="f">
                <v:path arrowok="t"/>
                <v:textbox inset="0,0,0,0">
                  <w:txbxContent>
                    <w:p w:rsidR="00304206" w:rsidRDefault="00304206" w:rsidP="00304206">
                      <w:pPr>
                        <w:spacing w:before="54" w:line="256" w:lineRule="auto"/>
                        <w:ind w:left="1013" w:firstLine="1543"/>
                        <w:rPr>
                          <w:color w:val="000000"/>
                          <w:sz w:val="16"/>
                        </w:rPr>
                      </w:pPr>
                      <w:r>
                        <w:rPr>
                          <w:color w:val="231F20"/>
                          <w:w w:val="120"/>
                          <w:sz w:val="16"/>
                        </w:rPr>
                        <w:t xml:space="preserve">Content list available at: </w:t>
                      </w:r>
                      <w:hyperlink r:id="rId14">
                        <w:r>
                          <w:rPr>
                            <w:color w:val="7A8082"/>
                            <w:spacing w:val="-2"/>
                            <w:w w:val="115"/>
                            <w:sz w:val="16"/>
                          </w:rPr>
                          <w:t>https://journals.carc.com.pk/index.php/CRISS/issue/view/10</w:t>
                        </w:r>
                      </w:hyperlink>
                    </w:p>
                    <w:p w:rsidR="00304206" w:rsidRDefault="00304206" w:rsidP="00304206">
                      <w:pPr>
                        <w:spacing w:before="166"/>
                        <w:ind w:left="1" w:right="65"/>
                        <w:jc w:val="center"/>
                        <w:rPr>
                          <w:color w:val="000000"/>
                          <w:sz w:val="30"/>
                        </w:rPr>
                      </w:pPr>
                      <w:r>
                        <w:rPr>
                          <w:color w:val="231F20"/>
                          <w:w w:val="120"/>
                          <w:sz w:val="30"/>
                        </w:rPr>
                        <w:t>CARC</w:t>
                      </w:r>
                      <w:r>
                        <w:rPr>
                          <w:color w:val="231F20"/>
                          <w:spacing w:val="3"/>
                          <w:w w:val="120"/>
                          <w:sz w:val="30"/>
                        </w:rPr>
                        <w:t xml:space="preserve"> </w:t>
                      </w:r>
                      <w:r>
                        <w:rPr>
                          <w:color w:val="231F20"/>
                          <w:w w:val="120"/>
                          <w:sz w:val="30"/>
                        </w:rPr>
                        <w:t>Research</w:t>
                      </w:r>
                      <w:r>
                        <w:rPr>
                          <w:color w:val="231F20"/>
                          <w:spacing w:val="4"/>
                          <w:w w:val="120"/>
                          <w:sz w:val="30"/>
                        </w:rPr>
                        <w:t xml:space="preserve"> </w:t>
                      </w:r>
                      <w:r>
                        <w:rPr>
                          <w:color w:val="231F20"/>
                          <w:w w:val="120"/>
                          <w:sz w:val="30"/>
                        </w:rPr>
                        <w:t>in</w:t>
                      </w:r>
                      <w:r>
                        <w:rPr>
                          <w:color w:val="231F20"/>
                          <w:spacing w:val="4"/>
                          <w:w w:val="120"/>
                          <w:sz w:val="30"/>
                        </w:rPr>
                        <w:t xml:space="preserve"> </w:t>
                      </w:r>
                      <w:r>
                        <w:rPr>
                          <w:color w:val="231F20"/>
                          <w:w w:val="120"/>
                          <w:sz w:val="30"/>
                        </w:rPr>
                        <w:t>Social</w:t>
                      </w:r>
                      <w:r>
                        <w:rPr>
                          <w:color w:val="231F20"/>
                          <w:spacing w:val="3"/>
                          <w:w w:val="120"/>
                          <w:sz w:val="30"/>
                        </w:rPr>
                        <w:t xml:space="preserve"> </w:t>
                      </w:r>
                      <w:r>
                        <w:rPr>
                          <w:color w:val="231F20"/>
                          <w:spacing w:val="-2"/>
                          <w:w w:val="120"/>
                          <w:sz w:val="30"/>
                        </w:rPr>
                        <w:t>Sciences</w:t>
                      </w:r>
                    </w:p>
                    <w:p w:rsidR="00304206" w:rsidRDefault="00304206" w:rsidP="00304206">
                      <w:pPr>
                        <w:spacing w:before="141"/>
                        <w:ind w:right="65"/>
                        <w:jc w:val="center"/>
                        <w:rPr>
                          <w:color w:val="000000"/>
                          <w:sz w:val="16"/>
                        </w:rPr>
                      </w:pPr>
                      <w:r>
                        <w:rPr>
                          <w:color w:val="231F20"/>
                          <w:w w:val="130"/>
                          <w:sz w:val="16"/>
                        </w:rPr>
                        <w:t>Journal</w:t>
                      </w:r>
                      <w:r>
                        <w:rPr>
                          <w:color w:val="231F20"/>
                          <w:spacing w:val="-3"/>
                          <w:w w:val="130"/>
                          <w:sz w:val="16"/>
                        </w:rPr>
                        <w:t xml:space="preserve"> </w:t>
                      </w:r>
                      <w:proofErr w:type="gramStart"/>
                      <w:r>
                        <w:rPr>
                          <w:color w:val="231F20"/>
                          <w:w w:val="130"/>
                          <w:sz w:val="16"/>
                        </w:rPr>
                        <w:t>homepage</w:t>
                      </w:r>
                      <w:r>
                        <w:rPr>
                          <w:color w:val="231F20"/>
                          <w:spacing w:val="-2"/>
                          <w:w w:val="130"/>
                          <w:sz w:val="16"/>
                        </w:rPr>
                        <w:t xml:space="preserve"> </w:t>
                      </w:r>
                      <w:r>
                        <w:rPr>
                          <w:color w:val="231F20"/>
                          <w:w w:val="130"/>
                          <w:sz w:val="16"/>
                        </w:rPr>
                        <w:t>:</w:t>
                      </w:r>
                      <w:proofErr w:type="gramEnd"/>
                      <w:r>
                        <w:rPr>
                          <w:color w:val="231F20"/>
                          <w:spacing w:val="-3"/>
                          <w:w w:val="130"/>
                          <w:sz w:val="16"/>
                        </w:rPr>
                        <w:t xml:space="preserve"> </w:t>
                      </w:r>
                      <w:hyperlink r:id="rId15">
                        <w:r>
                          <w:rPr>
                            <w:color w:val="808080"/>
                            <w:spacing w:val="-2"/>
                            <w:w w:val="130"/>
                            <w:sz w:val="16"/>
                          </w:rPr>
                          <w:t>journals.carc.com.pk</w:t>
                        </w:r>
                      </w:hyperlink>
                    </w:p>
                  </w:txbxContent>
                </v:textbox>
                <w10:wrap type="topAndBottom" anchorx="page"/>
              </v:shape>
            </w:pict>
          </mc:Fallback>
        </mc:AlternateContent>
      </w:r>
      <w:r>
        <w:tab/>
      </w:r>
    </w:p>
    <w:p w:rsidR="00F7669A" w:rsidRDefault="00F7669A" w:rsidP="00F7669A">
      <w:pPr>
        <w:spacing w:line="360" w:lineRule="auto"/>
        <w:jc w:val="both"/>
        <w:rPr>
          <w:rFonts w:ascii="Times New Roman" w:hAnsi="Times New Roman" w:cs="Times New Roman"/>
          <w:b/>
          <w:bCs/>
        </w:rPr>
      </w:pPr>
      <w:r w:rsidRPr="00AF57EF">
        <w:rPr>
          <w:rFonts w:ascii="Times New Roman" w:hAnsi="Times New Roman" w:cs="Times New Roman"/>
          <w:b/>
          <w:bCs/>
        </w:rPr>
        <w:t>COGNITIVE INOCULATION AGAINST MISINFORMATION: A NEUROPSYCHOLOGICAL INTERVENTION FRAMEWORK</w:t>
      </w:r>
    </w:p>
    <w:p w:rsidR="00F7669A" w:rsidRDefault="00F7669A" w:rsidP="00F7669A">
      <w:pPr>
        <w:spacing w:line="360" w:lineRule="auto"/>
        <w:rPr>
          <w:rFonts w:ascii="Times New Roman" w:hAnsi="Times New Roman" w:cs="Times New Roman"/>
          <w:bCs/>
        </w:rPr>
      </w:pPr>
      <w:proofErr w:type="spellStart"/>
      <w:r w:rsidRPr="00141FCD">
        <w:rPr>
          <w:rFonts w:ascii="Times New Roman" w:hAnsi="Times New Roman" w:cs="Times New Roman"/>
          <w:bCs/>
        </w:rPr>
        <w:t>Ameer</w:t>
      </w:r>
      <w:proofErr w:type="spellEnd"/>
      <w:r w:rsidRPr="00141FCD">
        <w:rPr>
          <w:rFonts w:ascii="Times New Roman" w:hAnsi="Times New Roman" w:cs="Times New Roman"/>
          <w:bCs/>
        </w:rPr>
        <w:t xml:space="preserve"> </w:t>
      </w:r>
      <w:proofErr w:type="spellStart"/>
      <w:r w:rsidRPr="00141FCD">
        <w:rPr>
          <w:rFonts w:ascii="Times New Roman" w:hAnsi="Times New Roman" w:cs="Times New Roman"/>
          <w:bCs/>
        </w:rPr>
        <w:t>Hamza</w:t>
      </w:r>
      <w:proofErr w:type="spellEnd"/>
      <w:r w:rsidR="00DB0BCD">
        <w:rPr>
          <w:rFonts w:ascii="Times New Roman" w:hAnsi="Times New Roman" w:cs="Times New Roman"/>
          <w:bCs/>
        </w:rPr>
        <w:t>*</w:t>
      </w:r>
      <w:bookmarkStart w:id="0" w:name="_GoBack"/>
      <w:bookmarkEnd w:id="0"/>
      <w:r w:rsidRPr="00141FCD">
        <w:rPr>
          <w:rFonts w:ascii="Times New Roman" w:hAnsi="Times New Roman" w:cs="Times New Roman"/>
          <w:bCs/>
        </w:rPr>
        <w:t xml:space="preserve">, Lecturer, </w:t>
      </w:r>
      <w:proofErr w:type="spellStart"/>
      <w:r>
        <w:rPr>
          <w:rFonts w:ascii="Times New Roman" w:hAnsi="Times New Roman" w:cs="Times New Roman"/>
          <w:bCs/>
        </w:rPr>
        <w:t>Shandana</w:t>
      </w:r>
      <w:proofErr w:type="spellEnd"/>
      <w:r>
        <w:rPr>
          <w:rFonts w:ascii="Times New Roman" w:hAnsi="Times New Roman" w:cs="Times New Roman"/>
          <w:bCs/>
        </w:rPr>
        <w:t xml:space="preserve"> Ali, </w:t>
      </w:r>
      <w:r w:rsidRPr="00141FCD">
        <w:rPr>
          <w:rFonts w:ascii="Times New Roman" w:hAnsi="Times New Roman" w:cs="Times New Roman"/>
          <w:bCs/>
        </w:rPr>
        <w:t xml:space="preserve">Lecturer, Department of Psychology, </w:t>
      </w:r>
    </w:p>
    <w:p w:rsidR="00F7669A" w:rsidRDefault="00F7669A" w:rsidP="00F7669A">
      <w:pPr>
        <w:pBdr>
          <w:bottom w:val="single" w:sz="12" w:space="1" w:color="auto"/>
        </w:pBdr>
        <w:spacing w:line="360" w:lineRule="auto"/>
        <w:rPr>
          <w:rFonts w:ascii="Times New Roman" w:hAnsi="Times New Roman" w:cs="Times New Roman"/>
          <w:bCs/>
        </w:rPr>
      </w:pPr>
      <w:proofErr w:type="spellStart"/>
      <w:r w:rsidRPr="00141FCD">
        <w:rPr>
          <w:rFonts w:ascii="Times New Roman" w:hAnsi="Times New Roman" w:cs="Times New Roman"/>
          <w:bCs/>
        </w:rPr>
        <w:t>Kohat</w:t>
      </w:r>
      <w:proofErr w:type="spellEnd"/>
      <w:r w:rsidRPr="00141FCD">
        <w:rPr>
          <w:rFonts w:ascii="Times New Roman" w:hAnsi="Times New Roman" w:cs="Times New Roman"/>
          <w:bCs/>
        </w:rPr>
        <w:t xml:space="preserve"> University of Science &amp;</w:t>
      </w:r>
      <w:r>
        <w:rPr>
          <w:rFonts w:ascii="Times New Roman" w:hAnsi="Times New Roman" w:cs="Times New Roman"/>
          <w:bCs/>
        </w:rPr>
        <w:t xml:space="preserve"> Technology, </w:t>
      </w:r>
      <w:proofErr w:type="spellStart"/>
      <w:r>
        <w:rPr>
          <w:rFonts w:ascii="Times New Roman" w:hAnsi="Times New Roman" w:cs="Times New Roman"/>
          <w:bCs/>
        </w:rPr>
        <w:t>Kohat</w:t>
      </w:r>
      <w:proofErr w:type="spellEnd"/>
    </w:p>
    <w:p w:rsidR="001D45B8" w:rsidRPr="00801138" w:rsidRDefault="001D45B8" w:rsidP="004F65C6">
      <w:pPr>
        <w:shd w:val="clear" w:color="auto" w:fill="EEECE1" w:themeFill="background2"/>
        <w:tabs>
          <w:tab w:val="right" w:pos="10800"/>
        </w:tabs>
        <w:rPr>
          <w:rFonts w:asciiTheme="majorHAnsi" w:hAnsiTheme="majorHAnsi"/>
          <w:outline/>
          <w:color w:val="000000"/>
          <w14:shadow w14:blurRad="38100" w14:dist="32004" w14:dir="5400000" w14:sx="100000" w14:sy="100000" w14:kx="0" w14:ky="0" w14:algn="tl">
            <w14:srgbClr w14:val="000000">
              <w14:alpha w14:val="70000"/>
            </w14:srgbClr>
          </w14:shadow>
          <w14:textOutline w14:w="5080" w14:cap="flat" w14:cmpd="sng" w14:algn="ctr">
            <w14:solidFill>
              <w14:srgbClr w14:val="000000"/>
            </w14:solidFill>
            <w14:prstDash w14:val="solid"/>
            <w14:round/>
          </w14:textOutline>
          <w14:textFill>
            <w14:solidFill>
              <w14:srgbClr w14:val="FFFFFF"/>
            </w14:solidFill>
          </w14:textFill>
        </w:rPr>
      </w:pPr>
      <w:r w:rsidRPr="00801138">
        <w:rPr>
          <w:rFonts w:asciiTheme="majorHAnsi" w:hAnsiTheme="majorHAnsi"/>
          <w:outline/>
          <w:color w:val="000000"/>
          <w14:shadow w14:blurRad="38100" w14:dist="32004" w14:dir="5400000" w14:sx="100000" w14:sy="100000" w14:kx="0" w14:ky="0" w14:algn="tl">
            <w14:srgbClr w14:val="000000">
              <w14:alpha w14:val="70000"/>
            </w14:srgbClr>
          </w14:shadow>
          <w14:textOutline w14:w="5080" w14:cap="flat" w14:cmpd="sng" w14:algn="ctr">
            <w14:solidFill>
              <w14:srgbClr w14:val="000000"/>
            </w14:solidFill>
            <w14:prstDash w14:val="solid"/>
            <w14:round/>
          </w14:textOutline>
          <w14:textFill>
            <w14:solidFill>
              <w14:srgbClr w14:val="FFFFFF"/>
            </w14:solidFill>
          </w14:textFill>
        </w:rPr>
        <w:t>Abstract</w:t>
      </w:r>
    </w:p>
    <w:p w:rsidR="00F7669A" w:rsidRPr="00AF57EF" w:rsidRDefault="00F7669A" w:rsidP="00F7669A">
      <w:pPr>
        <w:shd w:val="clear" w:color="auto" w:fill="EEECE1" w:themeFill="background2"/>
        <w:spacing w:line="360" w:lineRule="auto"/>
        <w:jc w:val="both"/>
        <w:rPr>
          <w:rFonts w:ascii="Times New Roman" w:hAnsi="Times New Roman" w:cs="Times New Roman"/>
        </w:rPr>
      </w:pPr>
      <w:r w:rsidRPr="00AF57EF">
        <w:rPr>
          <w:rFonts w:ascii="Times New Roman" w:hAnsi="Times New Roman" w:cs="Times New Roman"/>
        </w:rPr>
        <w:t>Misinformation in the modern digital era goes viral easily and has a severe consequence on the opinion of people, social divisions, and the decision-making process. The spread of fake news is a grave issue because it may influence the ideas and actions both directly and indirectly. In order to fight this, a psychological intervention, cognitive inoculation, meant to develop resistance to misinformation, has been regarded as an effective approach. This research is an outcome of a randomized controlled trial (RCT) in which 200 participants will be used to evaluate the functionality of cognitive inoculation in alleviating belief in fake news. The participants were taken to the scanner of the fMRI attributes to both pre- and post-inoculation intervention wherein the brain activity of resisting misinformation could be observed. The results indicate that there was a significant post-inoculation training 41% decline in the belief in fake news. Besides, the research found that there were considerable shifts in the activation patterns of the prefrontal cortex which are associated with higher order cognitive processes like reasoning and decision making. Such brain changes indicate that cognitive inoculation does not only produce changes in the way that individuals process information but it can also affect the brain processes underlying the resistance to misinformation. The research is the first neurobiological indication of the cognitive inoculation applicability as there is evidence of psychological strategies to fight misinformation at both cognitive and neural levels.</w:t>
      </w:r>
    </w:p>
    <w:p w:rsidR="004F65C6" w:rsidRPr="00F7669A" w:rsidRDefault="00BE0F3C" w:rsidP="00F7669A">
      <w:pPr>
        <w:shd w:val="clear" w:color="auto" w:fill="EEECE1" w:themeFill="background2"/>
        <w:spacing w:line="360" w:lineRule="auto"/>
        <w:jc w:val="both"/>
        <w:rPr>
          <w:rFonts w:ascii="Times New Roman" w:hAnsi="Times New Roman" w:cs="Times New Roman"/>
        </w:rPr>
      </w:pPr>
      <w:r w:rsidRPr="004F65C6">
        <w:rPr>
          <w:rFonts w:asciiTheme="majorHAnsi" w:hAnsiTheme="majorHAnsi" w:cs="Times New Roman"/>
          <w:b/>
          <w:bCs/>
        </w:rPr>
        <w:t>Keywords:</w:t>
      </w:r>
      <w:r w:rsidRPr="004F65C6">
        <w:rPr>
          <w:rFonts w:asciiTheme="majorHAnsi" w:hAnsiTheme="majorHAnsi" w:cs="Times New Roman"/>
        </w:rPr>
        <w:t xml:space="preserve"> </w:t>
      </w:r>
      <w:r w:rsidR="00F7669A" w:rsidRPr="00AF57EF">
        <w:rPr>
          <w:rFonts w:ascii="Times New Roman" w:hAnsi="Times New Roman" w:cs="Times New Roman"/>
        </w:rPr>
        <w:t>cognitive inoculation, misinformation, neuropsychology, intervention, fMRI, media literacy</w:t>
      </w:r>
    </w:p>
    <w:p w:rsidR="00F7669A" w:rsidRPr="00AF57EF" w:rsidRDefault="00F7669A" w:rsidP="00F7669A">
      <w:pPr>
        <w:spacing w:line="360" w:lineRule="auto"/>
        <w:jc w:val="both"/>
        <w:rPr>
          <w:rFonts w:ascii="Times New Roman" w:hAnsi="Times New Roman" w:cs="Times New Roman"/>
          <w:b/>
          <w:bCs/>
        </w:rPr>
      </w:pPr>
      <w:r>
        <w:rPr>
          <w:rFonts w:ascii="Times New Roman" w:hAnsi="Times New Roman" w:cs="Times New Roman"/>
          <w:b/>
          <w:bCs/>
        </w:rPr>
        <w:t>INTRODUCTION</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t xml:space="preserve">The spread of misinformation has been a threatening phenomenon, especially in the era of the digital era where the abundance of information, which is untrusted and unreliable, has dramatically changed the way individuals understand and shape their views on news. False information is likely to propagate very easily and affect the perception of the public, form opinions and foster the discord within the society in this environment. As a potential source of misinformation, </w:t>
      </w:r>
      <w:r w:rsidRPr="00AF57EF">
        <w:rPr>
          <w:rFonts w:ascii="Times New Roman" w:hAnsi="Times New Roman" w:cs="Times New Roman"/>
          <w:bCs/>
        </w:rPr>
        <w:lastRenderedPageBreak/>
        <w:t>whether as political hearsay or health myths or fake news, can polarize communities, distort the democratic processes, and even become a danger to the health of a population, as it has recently been observed with misinformation regarding COVID-19 (</w:t>
      </w:r>
      <w:proofErr w:type="spellStart"/>
      <w:r w:rsidRPr="00AF57EF">
        <w:rPr>
          <w:rFonts w:ascii="Times New Roman" w:hAnsi="Times New Roman" w:cs="Times New Roman"/>
          <w:bCs/>
        </w:rPr>
        <w:t>Friggeri</w:t>
      </w:r>
      <w:proofErr w:type="spellEnd"/>
      <w:r w:rsidRPr="00AF57EF">
        <w:rPr>
          <w:rFonts w:ascii="Times New Roman" w:hAnsi="Times New Roman" w:cs="Times New Roman"/>
          <w:bCs/>
        </w:rPr>
        <w:t xml:space="preserve">, </w:t>
      </w:r>
      <w:proofErr w:type="spellStart"/>
      <w:r w:rsidRPr="00AF57EF">
        <w:rPr>
          <w:rFonts w:ascii="Times New Roman" w:hAnsi="Times New Roman" w:cs="Times New Roman"/>
          <w:bCs/>
        </w:rPr>
        <w:t>Adamic</w:t>
      </w:r>
      <w:proofErr w:type="spellEnd"/>
      <w:r w:rsidRPr="00AF57EF">
        <w:rPr>
          <w:rFonts w:ascii="Times New Roman" w:hAnsi="Times New Roman" w:cs="Times New Roman"/>
          <w:bCs/>
        </w:rPr>
        <w:t>, and Vega, 2014). The fact that misinformation tends to capitalize on cognitive shortcuts, which are the mental shortcuts that humans apply in order to make their decisions fast and more efficiently, is one of the main reasons why misinformation is such a powerful tool. Although these heuristics are helpful in sorting out the complexity of daily life, they also may cause systematic errors in thinking.</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t>Confirmation bias is one of the most widespread intellectual biases affected by misinformation that makes people believe in information that supports their already existing beliefs, and denies the conflicting information (Nickerson, 1998). This bias assists in strengthening already formed ideas and can make individuals have problems digesting new or conflicting information despite its accuracy. Misinformation takes advantage of this bias by distorting the false information in a manner that would suit the preferences, opinions, or emotions of people. Consequently, people can be more vulnerable to false information, because they are not critically thinking about the information but, on the contrary, they support their own ideas. This is amplified in the digital era, where fake news is usually propagated through the social networks, where individuals are usually prone to information that will resonate with their ideological beliefs. Moreover, the amount of information which people can find online is overwhelming, and it is hard to identify reputable sources of information and unreliable ones.</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t>These cognitive bias effects and misinformation spread are extensive. False information may affect the decision making process, shape their political ideologies, and decrease people trust in institutions. To illustrate the aspect, the fake news regarding vaccines has led to vaccine hesitancy, which has become a health issue in different regions across the world (</w:t>
      </w:r>
      <w:proofErr w:type="spellStart"/>
      <w:r w:rsidRPr="00AF57EF">
        <w:rPr>
          <w:rFonts w:ascii="Times New Roman" w:hAnsi="Times New Roman" w:cs="Times New Roman"/>
          <w:bCs/>
        </w:rPr>
        <w:t>Betsch</w:t>
      </w:r>
      <w:proofErr w:type="spellEnd"/>
      <w:r w:rsidRPr="00AF57EF">
        <w:rPr>
          <w:rFonts w:ascii="Times New Roman" w:hAnsi="Times New Roman" w:cs="Times New Roman"/>
          <w:bCs/>
        </w:rPr>
        <w:t xml:space="preserve"> et al., 2015). Fake news has been demonstrated to affect the political elections and political choices because most people are easily influenced by emotional calls instead of using facts to support their viewpoints (</w:t>
      </w:r>
      <w:proofErr w:type="spellStart"/>
      <w:r w:rsidRPr="00AF57EF">
        <w:rPr>
          <w:rFonts w:ascii="Times New Roman" w:hAnsi="Times New Roman" w:cs="Times New Roman"/>
          <w:bCs/>
        </w:rPr>
        <w:t>Friggeri</w:t>
      </w:r>
      <w:proofErr w:type="spellEnd"/>
      <w:r w:rsidRPr="00AF57EF">
        <w:rPr>
          <w:rFonts w:ascii="Times New Roman" w:hAnsi="Times New Roman" w:cs="Times New Roman"/>
          <w:bCs/>
        </w:rPr>
        <w:t xml:space="preserve"> et al., 2014). With such dilemmas, the issue of misinformation has been a matter of concern regarding the well-being of the population, politics, and social cohesiveness.</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t>Considering these difficulties, cognitive inoculation has become one of the possible solutions to decrease the vulnerability of people to misinformation. On the immunization theory, cognitive inoculation is grounded on the principle of exposing individuals to weakened versions of misinformation and counterarguments to develop mental immunity against misinformation exposure in future (McGuire, 1961). The notion behind this is that, by exposing the people in advance to the tactics involved in misinformation, e.g., emotional appeal, misleading headline, logical fallacy, etc., such people will be more equipped to recognize and resist misinformation the next time they are misled. Similarly to vaccines exposing the immune system to a weaker form of a virus to develop immunity, cognitive inoculation tries to precondition people to be the best critics of any misinformation in the future so that it could be minimized.</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t>It has been proven that inoculation can be effective in altering misinformation attitudes. As an example, inoculation interventions have been demonstrated to decrease vulnerability to misinformation in cases involving political misinformation (</w:t>
      </w:r>
      <w:proofErr w:type="spellStart"/>
      <w:r w:rsidRPr="00AF57EF">
        <w:rPr>
          <w:rFonts w:ascii="Times New Roman" w:hAnsi="Times New Roman" w:cs="Times New Roman"/>
          <w:bCs/>
        </w:rPr>
        <w:t>Ivanov</w:t>
      </w:r>
      <w:proofErr w:type="spellEnd"/>
      <w:r w:rsidRPr="00AF57EF">
        <w:rPr>
          <w:rFonts w:ascii="Times New Roman" w:hAnsi="Times New Roman" w:cs="Times New Roman"/>
          <w:bCs/>
        </w:rPr>
        <w:t xml:space="preserve"> et al., 2019), health-related misinformation (</w:t>
      </w:r>
      <w:proofErr w:type="spellStart"/>
      <w:r w:rsidRPr="00AF57EF">
        <w:rPr>
          <w:rFonts w:ascii="Times New Roman" w:hAnsi="Times New Roman" w:cs="Times New Roman"/>
          <w:bCs/>
        </w:rPr>
        <w:t>Lewandowsky</w:t>
      </w:r>
      <w:proofErr w:type="spellEnd"/>
      <w:r w:rsidRPr="00AF57EF">
        <w:rPr>
          <w:rFonts w:ascii="Times New Roman" w:hAnsi="Times New Roman" w:cs="Times New Roman"/>
          <w:bCs/>
        </w:rPr>
        <w:t xml:space="preserve">, </w:t>
      </w:r>
      <w:proofErr w:type="spellStart"/>
      <w:r w:rsidRPr="00AF57EF">
        <w:rPr>
          <w:rFonts w:ascii="Times New Roman" w:hAnsi="Times New Roman" w:cs="Times New Roman"/>
          <w:bCs/>
        </w:rPr>
        <w:t>Ecker</w:t>
      </w:r>
      <w:proofErr w:type="spellEnd"/>
      <w:r w:rsidRPr="00AF57EF">
        <w:rPr>
          <w:rFonts w:ascii="Times New Roman" w:hAnsi="Times New Roman" w:cs="Times New Roman"/>
          <w:bCs/>
        </w:rPr>
        <w:t xml:space="preserve">, and Cook, 2017) and climate </w:t>
      </w:r>
      <w:r w:rsidRPr="00AF57EF">
        <w:rPr>
          <w:rFonts w:ascii="Times New Roman" w:hAnsi="Times New Roman" w:cs="Times New Roman"/>
          <w:bCs/>
        </w:rPr>
        <w:lastRenderedPageBreak/>
        <w:t>change denial (Van der Linden, 2017). These articles indicate that cognitive inoculation may become a useful means of fighting misinformation by enhancing the capability of people to criticize false statements. Nonetheless, although the behavioral consequences of inoculation have been well-documented, the neuropsychological processes of such a phenomenon have been poorly studied.</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t>The neurobiological explanation of misinformation resistance may be helpful to learn how and why cognitive inoculation functions as it does, and how it could be enhanced. Specifically, one should know the areas of the brain that are engaged in misinformation processing and misinformation resistance. In the research studies conducted earlier, it has been demonstrated that the prefrontal cortex (PFC) is related to cognitive control, belief updating and resistance to persuasion, executive functions like decision making, planning and controlling emotions (Miller and Cohen, 2001). In case cognitive inoculation induces a higher level of PFC activation when the participants are subjected to misinformation this may indicate that inoculation is effective because it improves the cognitive control and critical thinking skills of the individuals. Nonetheless, misinformation resistance may also be caused by other areas of the brain like the amygdala and the anterior cingulate cortex. Emotions and the detection of fear and risk are connected to amygdala, whereas the social processing of emotions and social information is linked to the anterior cingulate cortex (</w:t>
      </w:r>
      <w:proofErr w:type="spellStart"/>
      <w:r w:rsidRPr="00AF57EF">
        <w:rPr>
          <w:rFonts w:ascii="Times New Roman" w:hAnsi="Times New Roman" w:cs="Times New Roman"/>
          <w:bCs/>
        </w:rPr>
        <w:t>Adolphs</w:t>
      </w:r>
      <w:proofErr w:type="spellEnd"/>
      <w:r w:rsidRPr="00AF57EF">
        <w:rPr>
          <w:rFonts w:ascii="Times New Roman" w:hAnsi="Times New Roman" w:cs="Times New Roman"/>
          <w:bCs/>
        </w:rPr>
        <w:t>, 2010). Since misinformation can usually provoke an emotional response, knowledge of the effect of inoculation on such brain areas will enable a more holistic insight into the mechanisms underlying inoculation.</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t>The research will fill this gap in the current literature by incorporating neuroimaging as functional magnetic resonance imaging (</w:t>
      </w:r>
      <w:proofErr w:type="spellStart"/>
      <w:r w:rsidRPr="00AF57EF">
        <w:rPr>
          <w:rFonts w:ascii="Times New Roman" w:hAnsi="Times New Roman" w:cs="Times New Roman"/>
          <w:bCs/>
        </w:rPr>
        <w:t>fMMRI</w:t>
      </w:r>
      <w:proofErr w:type="spellEnd"/>
      <w:r w:rsidRPr="00AF57EF">
        <w:rPr>
          <w:rFonts w:ascii="Times New Roman" w:hAnsi="Times New Roman" w:cs="Times New Roman"/>
          <w:bCs/>
        </w:rPr>
        <w:t xml:space="preserve">) in studying the neural correlates of resistance to misinformation. The study will reveal the particular neural processes underlying cognitive inoculation by comparing the brain activity during pre and post inoculation and the research will use the fMRI tool, which can be </w:t>
      </w:r>
      <w:proofErr w:type="spellStart"/>
      <w:r w:rsidRPr="00AF57EF">
        <w:rPr>
          <w:rFonts w:ascii="Times New Roman" w:hAnsi="Times New Roman" w:cs="Times New Roman"/>
          <w:bCs/>
        </w:rPr>
        <w:t>utilised</w:t>
      </w:r>
      <w:proofErr w:type="spellEnd"/>
      <w:r w:rsidRPr="00AF57EF">
        <w:rPr>
          <w:rFonts w:ascii="Times New Roman" w:hAnsi="Times New Roman" w:cs="Times New Roman"/>
          <w:bCs/>
        </w:rPr>
        <w:t xml:space="preserve"> to measure brain activity without invasive methods, as participants perform activities simulating a real-world exposure of misinformation. The prefrontal cortex, amygdala, and anterior cingulate cortex are some of the brain areas of interest the study will be based on in order to determine the effects of inoculation on how individuals process and evaluate misinformation. This study will give a holistic comprehension on the impact of cognitive inoculation on cognitive and emotional processes that are entailed in the process of misinformation resistance by incorporating behavioral data into neuroimaging.</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t>This study shall also determine the retention of the effects of inoculation long-term on top of studying the immediate effects of inoculation. According to previous researches, inoculation effects could decline with time (Van der Linden, 2017). Knowing the duration of effects of inoculation and other variables that moderate long-term resistance to misinformation are critical in creating effective; long-term interventions. This paper will involve a follow-up of six months to assess the sustainability of the inoculation effects and predictors of the long-term immunity to misinformation.</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t xml:space="preserve">Finally, this study aims at making evidence-based suggestions on how to fight misinformation at a neuropsychological level. This study will help to establish more efficient cognitive inoculation strategies by determining the neural mechanisms that happen in case of misinformation resistance. The findings will also offer information on how these strategies can be generalized and used on other populations, which will make them an effective instrument in enhancing </w:t>
      </w:r>
      <w:r w:rsidRPr="00AF57EF">
        <w:rPr>
          <w:rFonts w:ascii="Times New Roman" w:hAnsi="Times New Roman" w:cs="Times New Roman"/>
          <w:bCs/>
        </w:rPr>
        <w:lastRenderedPageBreak/>
        <w:t>media literacy and critical thinking during the digital era. Through this, this study will tend to offer a comprehensive guideline on how people can be well-equipped to combat misinformation and thus a more knowledgeable and resilient society.</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t>Though cognitive inoculation has exhibited potential in behavioral experiments, there is still no neuropsychological validation of the processes involved in it, which is a gap in the literature. Also, most of the interventions that exist are short-lived and clients tend to go back to their initial beliefs once the intervention is over. It is urgent that a neuropsychological model be provided that does not only show that cognitive inoculation is effective, but also delves into how it can be effective in the long term on a neurological basis in countering misinformation.</w:t>
      </w:r>
    </w:p>
    <w:p w:rsidR="00F7669A" w:rsidRPr="00AF57EF" w:rsidRDefault="00F7669A" w:rsidP="00F7669A">
      <w:pPr>
        <w:spacing w:line="360" w:lineRule="auto"/>
        <w:jc w:val="both"/>
        <w:rPr>
          <w:rFonts w:ascii="Times New Roman" w:hAnsi="Times New Roman" w:cs="Times New Roman"/>
          <w:b/>
          <w:bCs/>
        </w:rPr>
      </w:pPr>
      <w:r w:rsidRPr="00AF57EF">
        <w:rPr>
          <w:rFonts w:ascii="Times New Roman" w:hAnsi="Times New Roman" w:cs="Times New Roman"/>
          <w:b/>
          <w:bCs/>
        </w:rPr>
        <w:t>Objectives:</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t>1.</w:t>
      </w:r>
      <w:r w:rsidRPr="00AF57EF">
        <w:rPr>
          <w:rFonts w:ascii="Times New Roman" w:hAnsi="Times New Roman" w:cs="Times New Roman"/>
          <w:bCs/>
        </w:rPr>
        <w:tab/>
        <w:t>Develop and Refute Inoculation Modules: The research seeks to develop cognitive inoculation training modules, which would play an important role as a means to combat misinformation susceptibility. These modules will be grounded on the existing theories of persuasion, cognitive resistance and belief change.</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t>2.</w:t>
      </w:r>
      <w:r w:rsidRPr="00AF57EF">
        <w:rPr>
          <w:rFonts w:ascii="Times New Roman" w:hAnsi="Times New Roman" w:cs="Times New Roman"/>
          <w:bCs/>
        </w:rPr>
        <w:tab/>
        <w:t>Determine Neural Markers of Susceptibility and Resistance: The research will determine neural markers of susceptibility to misinformation and resistance following inoculation especially in the prefrontal cortex.</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t>3.</w:t>
      </w:r>
      <w:r w:rsidRPr="00AF57EF">
        <w:rPr>
          <w:rFonts w:ascii="Times New Roman" w:hAnsi="Times New Roman" w:cs="Times New Roman"/>
          <w:bCs/>
        </w:rPr>
        <w:tab/>
        <w:t>Test Six-Month Retention: The test will evaluate the maintenance of the inoculation effects or the long-term retention of reduced misinformation belief by administering a six-month follow-up assessing the retention of reduced misinformation beliefs.</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t>4.</w:t>
      </w:r>
      <w:r w:rsidRPr="00AF57EF">
        <w:rPr>
          <w:rFonts w:ascii="Times New Roman" w:hAnsi="Times New Roman" w:cs="Times New Roman"/>
          <w:bCs/>
        </w:rPr>
        <w:tab/>
        <w:t>Develop Scalable Framework: The research is going to develop a scalable framework of misinformation resistance intervention, so that it can be applicable to different populations and media platforms.</w:t>
      </w:r>
    </w:p>
    <w:p w:rsidR="00F7669A" w:rsidRPr="00AF57EF" w:rsidRDefault="00F7669A" w:rsidP="00F7669A">
      <w:pPr>
        <w:spacing w:line="360" w:lineRule="auto"/>
        <w:jc w:val="both"/>
        <w:rPr>
          <w:rFonts w:ascii="Times New Roman" w:hAnsi="Times New Roman" w:cs="Times New Roman"/>
          <w:b/>
          <w:bCs/>
        </w:rPr>
      </w:pPr>
      <w:r w:rsidRPr="00AF57EF">
        <w:rPr>
          <w:rFonts w:ascii="Times New Roman" w:hAnsi="Times New Roman" w:cs="Times New Roman"/>
          <w:b/>
          <w:bCs/>
        </w:rPr>
        <w:t>Significance:</w:t>
      </w:r>
    </w:p>
    <w:p w:rsidR="00F7669A" w:rsidRPr="00AF57EF" w:rsidRDefault="00F7669A" w:rsidP="00F7669A">
      <w:pPr>
        <w:spacing w:line="360" w:lineRule="auto"/>
        <w:jc w:val="both"/>
        <w:rPr>
          <w:rFonts w:ascii="Times New Roman" w:hAnsi="Times New Roman" w:cs="Times New Roman"/>
        </w:rPr>
      </w:pPr>
      <w:r w:rsidRPr="00AF57EF">
        <w:rPr>
          <w:rFonts w:ascii="Times New Roman" w:hAnsi="Times New Roman" w:cs="Times New Roman"/>
          <w:bCs/>
        </w:rPr>
        <w:t>This paper will be the first to incorporate neurobiological findings into the research on cognitive inoculation against misinformation. The study will offer a more comprehensive picture of understanding how cognitive inoculation can change brain processes by observing changes in brain activity with the use of fMRI, especially in parts of the brain such as the prefrontal cortex which is concerned with cognitive control and executive, and functional aspect (Miller &amp; Cohen, 2001). It was shown that this neuropsychological view opens up new possibilities of creating an effective and focused intervention against misinformation, which aids in a strong basis of further research and implementation in the educational and general population context.</w:t>
      </w:r>
    </w:p>
    <w:p w:rsidR="00F7669A" w:rsidRDefault="00F7669A" w:rsidP="00F7669A">
      <w:pPr>
        <w:spacing w:line="360" w:lineRule="auto"/>
        <w:jc w:val="both"/>
        <w:rPr>
          <w:rFonts w:ascii="Times New Roman" w:hAnsi="Times New Roman" w:cs="Times New Roman"/>
          <w:b/>
          <w:bCs/>
        </w:rPr>
      </w:pPr>
    </w:p>
    <w:p w:rsidR="00F7669A" w:rsidRPr="00AF57EF" w:rsidRDefault="00F7669A" w:rsidP="00F7669A">
      <w:pPr>
        <w:spacing w:line="360" w:lineRule="auto"/>
        <w:jc w:val="both"/>
        <w:rPr>
          <w:rFonts w:ascii="Times New Roman" w:hAnsi="Times New Roman" w:cs="Times New Roman"/>
          <w:b/>
          <w:bCs/>
        </w:rPr>
      </w:pPr>
      <w:r>
        <w:rPr>
          <w:rFonts w:ascii="Times New Roman" w:hAnsi="Times New Roman" w:cs="Times New Roman"/>
          <w:b/>
          <w:bCs/>
        </w:rPr>
        <w:t>LITERATURE REVIEW</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lastRenderedPageBreak/>
        <w:t>McGuire (1961) was the first to state inoculation theory, which compares immunization and persuasion resistance. The same way as a vaccine gets the immune system to be exposed to weakened pathogens so as to create immunity, inoculation causes people to get exposed to weakened forms of persuasive arguments after which counterarguments get created to strengthen their resistance. Regarding misinformation, inoculation implies that people are exposed to less persuasive and less believable fake news, as well as to counterarguments that disprove the false news, therefore, increasing their resistance to the near-recurrence of such news (Cook et al., 2017).</w:t>
      </w:r>
    </w:p>
    <w:p w:rsidR="00F7669A" w:rsidRPr="00AF57EF" w:rsidRDefault="00F7669A" w:rsidP="00F7669A">
      <w:pPr>
        <w:spacing w:line="360" w:lineRule="auto"/>
        <w:jc w:val="both"/>
        <w:rPr>
          <w:rFonts w:ascii="Times New Roman" w:hAnsi="Times New Roman" w:cs="Times New Roman"/>
          <w:b/>
          <w:bCs/>
        </w:rPr>
      </w:pPr>
      <w:r w:rsidRPr="00AF57EF">
        <w:rPr>
          <w:rFonts w:ascii="Times New Roman" w:hAnsi="Times New Roman" w:cs="Times New Roman"/>
          <w:b/>
          <w:bCs/>
        </w:rPr>
        <w:t>Dual-Process Theory:</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t xml:space="preserve">Dual-Process Theory was the creation of </w:t>
      </w:r>
      <w:proofErr w:type="spellStart"/>
      <w:r w:rsidRPr="00AF57EF">
        <w:rPr>
          <w:rFonts w:ascii="Times New Roman" w:hAnsi="Times New Roman" w:cs="Times New Roman"/>
          <w:bCs/>
        </w:rPr>
        <w:t>Chaiken</w:t>
      </w:r>
      <w:proofErr w:type="spellEnd"/>
      <w:r w:rsidRPr="00AF57EF">
        <w:rPr>
          <w:rFonts w:ascii="Times New Roman" w:hAnsi="Times New Roman" w:cs="Times New Roman"/>
          <w:bCs/>
        </w:rPr>
        <w:t xml:space="preserve"> and Trope (1999), who assume that information is processed through two mental routes: central route and peripheral route. The core pathway is that of careful systematic information processing, and the peripheral pathway is that which is based on heuristics and emotional stimuli. The peripheral route is often used by misinformation as this route takes advantage of emotional appeals and superficial cues and thus, individuals believe in a false message without questioning it. One of the options the cognitive inoculation aims at activating the central route essentially involves inviting individuals to question the information and undermine its legitimacy to create a means of resistance to misinformation (</w:t>
      </w:r>
      <w:proofErr w:type="spellStart"/>
      <w:r w:rsidRPr="00AF57EF">
        <w:rPr>
          <w:rFonts w:ascii="Times New Roman" w:hAnsi="Times New Roman" w:cs="Times New Roman"/>
          <w:bCs/>
        </w:rPr>
        <w:t>Pennycook</w:t>
      </w:r>
      <w:proofErr w:type="spellEnd"/>
      <w:r w:rsidRPr="00AF57EF">
        <w:rPr>
          <w:rFonts w:ascii="Times New Roman" w:hAnsi="Times New Roman" w:cs="Times New Roman"/>
          <w:bCs/>
        </w:rPr>
        <w:t xml:space="preserve"> and Rand, 2018).</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t>The proposed research will use a combination of both these theoretical frameworks by seeking to find out how cognitive inoculation triggers the central route where critical thinking and cognitive resistance to misinformation occur and also find out which neural processes may underlie such resistance.</w:t>
      </w:r>
    </w:p>
    <w:p w:rsidR="00F7669A" w:rsidRPr="00AF57EF" w:rsidRDefault="00F7669A" w:rsidP="00F7669A">
      <w:pPr>
        <w:spacing w:line="360" w:lineRule="auto"/>
        <w:jc w:val="both"/>
        <w:rPr>
          <w:rFonts w:ascii="Times New Roman" w:hAnsi="Times New Roman" w:cs="Times New Roman"/>
          <w:b/>
          <w:bCs/>
        </w:rPr>
      </w:pPr>
      <w:r w:rsidRPr="00AF57EF">
        <w:rPr>
          <w:rFonts w:ascii="Times New Roman" w:hAnsi="Times New Roman" w:cs="Times New Roman"/>
          <w:b/>
          <w:bCs/>
        </w:rPr>
        <w:t>Challenges:</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t>Although cognitive inoculation has been promising, it has a number of challenges to its effectiveness. Among the major obstacles, there is the phenomenon of the so-called backfire effects, when people become exposed to counterarguments and (unwittingly) reinforce the pre-existing beliefs instead of altering them (</w:t>
      </w:r>
      <w:proofErr w:type="spellStart"/>
      <w:r w:rsidRPr="00AF57EF">
        <w:rPr>
          <w:rFonts w:ascii="Times New Roman" w:hAnsi="Times New Roman" w:cs="Times New Roman"/>
          <w:bCs/>
        </w:rPr>
        <w:t>Lewandowsky</w:t>
      </w:r>
      <w:proofErr w:type="spellEnd"/>
      <w:r w:rsidRPr="00AF57EF">
        <w:rPr>
          <w:rFonts w:ascii="Times New Roman" w:hAnsi="Times New Roman" w:cs="Times New Roman"/>
          <w:bCs/>
        </w:rPr>
        <w:t xml:space="preserve">, </w:t>
      </w:r>
      <w:proofErr w:type="spellStart"/>
      <w:r w:rsidRPr="00AF57EF">
        <w:rPr>
          <w:rFonts w:ascii="Times New Roman" w:hAnsi="Times New Roman" w:cs="Times New Roman"/>
          <w:bCs/>
        </w:rPr>
        <w:t>Ecker</w:t>
      </w:r>
      <w:proofErr w:type="spellEnd"/>
      <w:r w:rsidRPr="00AF57EF">
        <w:rPr>
          <w:rFonts w:ascii="Times New Roman" w:hAnsi="Times New Roman" w:cs="Times New Roman"/>
          <w:bCs/>
        </w:rPr>
        <w:t>, and Cook, 2017). Such phenomenon is particularly common among people with strong confirmation biases who can perceive debunking attempts as the threats to their own identity or existing worldview, which makes them invest more heavily in their false beliefs (</w:t>
      </w:r>
      <w:proofErr w:type="spellStart"/>
      <w:r w:rsidRPr="00AF57EF">
        <w:rPr>
          <w:rFonts w:ascii="Times New Roman" w:hAnsi="Times New Roman" w:cs="Times New Roman"/>
          <w:bCs/>
        </w:rPr>
        <w:t>Fransen</w:t>
      </w:r>
      <w:proofErr w:type="spellEnd"/>
      <w:r w:rsidRPr="00AF57EF">
        <w:rPr>
          <w:rFonts w:ascii="Times New Roman" w:hAnsi="Times New Roman" w:cs="Times New Roman"/>
          <w:bCs/>
        </w:rPr>
        <w:t xml:space="preserve"> et al., 2017). Knowledge about the circumstances in which inoculation can counterproductively contribute to improvement of the intervention strategy is of paramount importance.</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t>Also, digital literacy is significant in the efficiency of inoculation. Even though certain people might possess the cognitive resources and critical thinking ability to process and dismiss misinformation, others, especially less media literate, will be susceptible to misinformation (</w:t>
      </w:r>
      <w:proofErr w:type="spellStart"/>
      <w:r w:rsidRPr="00AF57EF">
        <w:rPr>
          <w:rFonts w:ascii="Times New Roman" w:hAnsi="Times New Roman" w:cs="Times New Roman"/>
          <w:bCs/>
        </w:rPr>
        <w:t>Lewandowsky</w:t>
      </w:r>
      <w:proofErr w:type="spellEnd"/>
      <w:r w:rsidRPr="00AF57EF">
        <w:rPr>
          <w:rFonts w:ascii="Times New Roman" w:hAnsi="Times New Roman" w:cs="Times New Roman"/>
          <w:bCs/>
        </w:rPr>
        <w:t xml:space="preserve">, </w:t>
      </w:r>
      <w:proofErr w:type="spellStart"/>
      <w:r w:rsidRPr="00AF57EF">
        <w:rPr>
          <w:rFonts w:ascii="Times New Roman" w:hAnsi="Times New Roman" w:cs="Times New Roman"/>
          <w:bCs/>
        </w:rPr>
        <w:t>Ecker</w:t>
      </w:r>
      <w:proofErr w:type="spellEnd"/>
      <w:r w:rsidRPr="00AF57EF">
        <w:rPr>
          <w:rFonts w:ascii="Times New Roman" w:hAnsi="Times New Roman" w:cs="Times New Roman"/>
          <w:bCs/>
        </w:rPr>
        <w:t>, and Cook, 2017). Such difference poses a problem in the formulation of interventions that are universally applicable.</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t xml:space="preserve">The other difficulty is the neuroplasticity limitations. Although cognitive inoculation could possibly assist in the short term to help a person resist abusive information; one wonders how these effects cause changes in the brain in the long term. Are the effects of inoculation training on neural circuitry persisted after repeated exposure or do the effects dissipate </w:t>
      </w:r>
      <w:r w:rsidRPr="00AF57EF">
        <w:rPr>
          <w:rFonts w:ascii="Times New Roman" w:hAnsi="Times New Roman" w:cs="Times New Roman"/>
          <w:bCs/>
        </w:rPr>
        <w:lastRenderedPageBreak/>
        <w:t>after the training is discontinued? In this study, the researcher tries to answer these questions by examining the long term neural consequences of inoculation.</w:t>
      </w:r>
    </w:p>
    <w:p w:rsidR="00F7669A" w:rsidRPr="00AF57EF" w:rsidRDefault="00F7669A" w:rsidP="00F7669A">
      <w:pPr>
        <w:spacing w:line="360" w:lineRule="auto"/>
        <w:jc w:val="both"/>
        <w:rPr>
          <w:rFonts w:ascii="Times New Roman" w:hAnsi="Times New Roman" w:cs="Times New Roman"/>
          <w:b/>
          <w:bCs/>
        </w:rPr>
      </w:pPr>
      <w:r>
        <w:rPr>
          <w:rFonts w:ascii="Times New Roman" w:hAnsi="Times New Roman" w:cs="Times New Roman"/>
          <w:b/>
          <w:bCs/>
        </w:rPr>
        <w:t>METHODOLOGY</w:t>
      </w:r>
    </w:p>
    <w:p w:rsidR="00F7669A" w:rsidRPr="00AF57EF" w:rsidRDefault="00F7669A" w:rsidP="00F7669A">
      <w:pPr>
        <w:spacing w:line="360" w:lineRule="auto"/>
        <w:jc w:val="both"/>
        <w:rPr>
          <w:rFonts w:ascii="Times New Roman" w:hAnsi="Times New Roman" w:cs="Times New Roman"/>
          <w:b/>
          <w:bCs/>
        </w:rPr>
      </w:pPr>
      <w:r w:rsidRPr="00AF57EF">
        <w:rPr>
          <w:rFonts w:ascii="Times New Roman" w:hAnsi="Times New Roman" w:cs="Times New Roman"/>
          <w:b/>
          <w:bCs/>
        </w:rPr>
        <w:t>Design:</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t xml:space="preserve">The research will use a randomized controlled trial (RCT) study design in order to determine the efficacy of cognitive inoculation with respect to diminishing misinformation vulnerability. The RCT design can additionally be used to provide a robust study of the cause-effect relationship between the intervention and belief change by adjusting the confounding variables. Also, the neuroimaging </w:t>
      </w:r>
      <w:proofErr w:type="spellStart"/>
      <w:r w:rsidRPr="00AF57EF">
        <w:rPr>
          <w:rFonts w:ascii="Times New Roman" w:hAnsi="Times New Roman" w:cs="Times New Roman"/>
          <w:bCs/>
        </w:rPr>
        <w:t>substudy</w:t>
      </w:r>
      <w:proofErr w:type="spellEnd"/>
      <w:r w:rsidRPr="00AF57EF">
        <w:rPr>
          <w:rFonts w:ascii="Times New Roman" w:hAnsi="Times New Roman" w:cs="Times New Roman"/>
          <w:bCs/>
        </w:rPr>
        <w:t xml:space="preserve"> will offer the much needed information on the neural processes underlying these changes with special emphasis on brain areas that mediate the process of belief updating and cognitive control.</w:t>
      </w:r>
    </w:p>
    <w:p w:rsidR="00F7669A" w:rsidRPr="00AF57EF" w:rsidRDefault="00F7669A" w:rsidP="00F7669A">
      <w:pPr>
        <w:spacing w:line="360" w:lineRule="auto"/>
        <w:jc w:val="both"/>
        <w:rPr>
          <w:rFonts w:ascii="Times New Roman" w:hAnsi="Times New Roman" w:cs="Times New Roman"/>
          <w:b/>
          <w:bCs/>
        </w:rPr>
      </w:pPr>
      <w:r w:rsidRPr="00AF57EF">
        <w:rPr>
          <w:rFonts w:ascii="Times New Roman" w:hAnsi="Times New Roman" w:cs="Times New Roman"/>
          <w:b/>
          <w:bCs/>
        </w:rPr>
        <w:t>Sample:</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t>There will be a minimum of 200 adult participants, in terms of gender balance and diversifying political ideologies. The respondents will be randomly split into inoculation intervention group and a control group. A sample size of 40 will be used to test the neural mechanisms in response to false information by carrying out fMRI scans on the subgroup of participants prior to and following the intervention. The selection methods will rely on the diversity of the political perspectives of the participants because it is one of the main aspects that can potentially affect the vulnerability to misinformation (</w:t>
      </w:r>
      <w:proofErr w:type="spellStart"/>
      <w:r w:rsidRPr="00AF57EF">
        <w:rPr>
          <w:rFonts w:ascii="Times New Roman" w:hAnsi="Times New Roman" w:cs="Times New Roman"/>
          <w:bCs/>
        </w:rPr>
        <w:t>Pennycook</w:t>
      </w:r>
      <w:proofErr w:type="spellEnd"/>
      <w:r w:rsidRPr="00AF57EF">
        <w:rPr>
          <w:rFonts w:ascii="Times New Roman" w:hAnsi="Times New Roman" w:cs="Times New Roman"/>
          <w:bCs/>
        </w:rPr>
        <w:t xml:space="preserve"> and Rand, 2018).</w:t>
      </w:r>
    </w:p>
    <w:p w:rsidR="00F7669A" w:rsidRPr="00AF57EF" w:rsidRDefault="00F7669A" w:rsidP="00F7669A">
      <w:pPr>
        <w:spacing w:line="360" w:lineRule="auto"/>
        <w:jc w:val="both"/>
        <w:rPr>
          <w:rFonts w:ascii="Times New Roman" w:hAnsi="Times New Roman" w:cs="Times New Roman"/>
          <w:b/>
          <w:bCs/>
        </w:rPr>
      </w:pPr>
      <w:r w:rsidRPr="00AF57EF">
        <w:rPr>
          <w:rFonts w:ascii="Times New Roman" w:hAnsi="Times New Roman" w:cs="Times New Roman"/>
          <w:b/>
          <w:bCs/>
        </w:rPr>
        <w:t>Instruments:</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t>1.</w:t>
      </w:r>
      <w:r w:rsidRPr="00AF57EF">
        <w:rPr>
          <w:rFonts w:ascii="Times New Roman" w:hAnsi="Times New Roman" w:cs="Times New Roman"/>
          <w:bCs/>
        </w:rPr>
        <w:tab/>
        <w:t>Cognitive Inoculation Training (3 Modules): The procedure will be divided into three modules where weak types of misinformation will be used on the participants, and then counterarguments will be presented. The modules will cover various areas of misinformation (e.g., political, health, and environmental misinformation) so that the participants could see a range of types of misinformation.</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t>2.</w:t>
      </w:r>
      <w:r w:rsidRPr="00AF57EF">
        <w:rPr>
          <w:rFonts w:ascii="Times New Roman" w:hAnsi="Times New Roman" w:cs="Times New Roman"/>
          <w:bCs/>
        </w:rPr>
        <w:tab/>
      </w:r>
      <w:proofErr w:type="gramStart"/>
      <w:r w:rsidRPr="00AF57EF">
        <w:rPr>
          <w:rFonts w:ascii="Times New Roman" w:hAnsi="Times New Roman" w:cs="Times New Roman"/>
          <w:bCs/>
        </w:rPr>
        <w:t>fMRI</w:t>
      </w:r>
      <w:proofErr w:type="gramEnd"/>
      <w:r w:rsidRPr="00AF57EF">
        <w:rPr>
          <w:rFonts w:ascii="Times New Roman" w:hAnsi="Times New Roman" w:cs="Times New Roman"/>
          <w:bCs/>
        </w:rPr>
        <w:t xml:space="preserve"> Paradigm (Belief Updating Tasks): fMRI will be applied to discuss the alterations in the brain activity of the participants as they update their beliefs based on newly received information. It is planned that the belief updating tasks will include misinformation and counterarguments, and neural responses of the participants will be assessed prior to the intervention and post-intervention.</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t>3.</w:t>
      </w:r>
      <w:r w:rsidRPr="00AF57EF">
        <w:rPr>
          <w:rFonts w:ascii="Times New Roman" w:hAnsi="Times New Roman" w:cs="Times New Roman"/>
          <w:bCs/>
        </w:rPr>
        <w:tab/>
        <w:t>Misinformation Susceptibility Scale: A valid scale will be used to determine the baseline level of susceptibility to misinformation in the participants. This scale will be given at the pre-intervention, post-intervention, and 6 months follow-up timings to monitor the misinformation belief changes.</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lastRenderedPageBreak/>
        <w:t>4.</w:t>
      </w:r>
      <w:r w:rsidRPr="00AF57EF">
        <w:rPr>
          <w:rFonts w:ascii="Times New Roman" w:hAnsi="Times New Roman" w:cs="Times New Roman"/>
          <w:bCs/>
        </w:rPr>
        <w:tab/>
        <w:t>6-Month Follow-Up Survey: The participants will get a survey to evaluate the efficacy of the inoculation training, in the long term. This survey will assess their further resistance to misinformation, their attitudes to media literacy, and cognitive resistance.</w:t>
      </w:r>
    </w:p>
    <w:p w:rsidR="00F7669A" w:rsidRPr="00AF57EF" w:rsidRDefault="00F7669A" w:rsidP="00F7669A">
      <w:pPr>
        <w:spacing w:line="360" w:lineRule="auto"/>
        <w:jc w:val="both"/>
        <w:rPr>
          <w:rFonts w:ascii="Times New Roman" w:hAnsi="Times New Roman" w:cs="Times New Roman"/>
          <w:b/>
          <w:bCs/>
        </w:rPr>
      </w:pPr>
      <w:r w:rsidRPr="00AF57EF">
        <w:rPr>
          <w:rFonts w:ascii="Times New Roman" w:hAnsi="Times New Roman" w:cs="Times New Roman"/>
          <w:b/>
          <w:bCs/>
        </w:rPr>
        <w:t>Data Collection:</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t>The data will be gathered at three times, including pre-intervention period (before the intervention), post-intervention (immediately after the intervention) and six months follow-up. The fMRI images will be obtained at pre- and post-intervention time point to determine whether there is a change in the brain activation. Moreover, ecological momentary assessments (EMA) will be employed to obtain longitudinal data of the participants in regards to their exposure to misinformation and their reactions on the same in real time.</w:t>
      </w:r>
    </w:p>
    <w:p w:rsidR="00F7669A" w:rsidRPr="00AF57EF" w:rsidRDefault="00F7669A" w:rsidP="00F7669A">
      <w:pPr>
        <w:spacing w:line="360" w:lineRule="auto"/>
        <w:jc w:val="both"/>
        <w:rPr>
          <w:rFonts w:ascii="Times New Roman" w:hAnsi="Times New Roman" w:cs="Times New Roman"/>
          <w:b/>
          <w:bCs/>
        </w:rPr>
      </w:pPr>
      <w:r w:rsidRPr="00AF57EF">
        <w:rPr>
          <w:rFonts w:ascii="Times New Roman" w:hAnsi="Times New Roman" w:cs="Times New Roman"/>
          <w:b/>
          <w:bCs/>
        </w:rPr>
        <w:t>Data Analysis:</w:t>
      </w:r>
    </w:p>
    <w:p w:rsidR="00F7669A" w:rsidRPr="00AF57EF" w:rsidRDefault="00F7669A" w:rsidP="00F7669A">
      <w:pPr>
        <w:spacing w:line="360" w:lineRule="auto"/>
        <w:jc w:val="both"/>
        <w:rPr>
          <w:rFonts w:ascii="Times New Roman" w:hAnsi="Times New Roman" w:cs="Times New Roman"/>
          <w:b/>
          <w:bCs/>
        </w:rPr>
      </w:pPr>
      <w:r w:rsidRPr="00AF57EF">
        <w:rPr>
          <w:rFonts w:ascii="Times New Roman" w:hAnsi="Times New Roman" w:cs="Times New Roman"/>
          <w:b/>
          <w:bCs/>
        </w:rPr>
        <w:t>Conditional Belief Change scores:</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t>Belief change scores of the inoculation and control groups will be compared as a measure of assessing the effectiveness of the cognitive inoculation training. Misinformation Susceptibility Scale will be used in three phases, first pre-intervention, secondly after the intervention and finally at a six months follow-up. Significant differences in change of belief in the groups and in between will be done by the use of paired t-tests. The main assumption is that the difference between the inoculation and control groups will be significantly lower in the beliefs about the misinformation. This will be quantified by contrasting the pre and post intervention susceptibility scores with a drop in misinformation belief being the indicator of the effectiveness of inoculation strategy.</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t>Also, the demographic variables (e.g., political ideology, media literacy) will be used to test the belief change scores to establish the role of these variables in making the inoculation intervention effective. Indicatively, more media literate people can be less susceptible to misinformation, without inoculation. Such differences between these individuals will be analyzed in order to comprehend how specific interventions may be developed to enhance their effectiveness with different population groups.</w:t>
      </w:r>
    </w:p>
    <w:p w:rsidR="00F7669A" w:rsidRPr="00AF57EF" w:rsidRDefault="00F7669A" w:rsidP="00F7669A">
      <w:pPr>
        <w:spacing w:line="360" w:lineRule="auto"/>
        <w:jc w:val="both"/>
        <w:rPr>
          <w:rFonts w:ascii="Times New Roman" w:hAnsi="Times New Roman" w:cs="Times New Roman"/>
          <w:b/>
          <w:bCs/>
        </w:rPr>
      </w:pPr>
      <w:proofErr w:type="gramStart"/>
      <w:r w:rsidRPr="00AF57EF">
        <w:rPr>
          <w:rFonts w:ascii="Times New Roman" w:hAnsi="Times New Roman" w:cs="Times New Roman"/>
          <w:b/>
          <w:bCs/>
        </w:rPr>
        <w:t>fMRI</w:t>
      </w:r>
      <w:proofErr w:type="gramEnd"/>
      <w:r w:rsidRPr="00AF57EF">
        <w:rPr>
          <w:rFonts w:ascii="Times New Roman" w:hAnsi="Times New Roman" w:cs="Times New Roman"/>
          <w:b/>
          <w:bCs/>
        </w:rPr>
        <w:t xml:space="preserve"> ROI Activations Contrasts:</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t>The analysis of fMRI data will be done through a region-of-interest (ROI) method of examining how the brain activity before and after the intervention changes. The main ROI in this analysis is prefrontal cortex (PFC) which is used in executive functioning, updating of beliefs, and cognitive control (Miller and Cohen, 2001). Since the PFC has a significant role in conflict information processing, one can anticipate that inoculation will result in heightened PFC activity when misinformation is being processed by the participants.</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t xml:space="preserve">The mixed-design analysis of variance (ANOVA) will be used to compare the results of the PFC activation patterns pre- and post-intervention between the groups of inoculation and control. The analysis will determine whether inoculation will </w:t>
      </w:r>
      <w:r w:rsidRPr="00AF57EF">
        <w:rPr>
          <w:rFonts w:ascii="Times New Roman" w:hAnsi="Times New Roman" w:cs="Times New Roman"/>
          <w:bCs/>
        </w:rPr>
        <w:lastRenderedPageBreak/>
        <w:t xml:space="preserve">result in more involvement of the PFC when the participants are subjected to misinformation and proposed cognitive inoculation will increase critical thinking and other factors which may be associated with resisting misinformation. Other brain regions, which regulate emotions and social cognition (i.e., the amygdala and anterior cingulate </w:t>
      </w:r>
      <w:proofErr w:type="gramStart"/>
      <w:r w:rsidRPr="00AF57EF">
        <w:rPr>
          <w:rFonts w:ascii="Times New Roman" w:hAnsi="Times New Roman" w:cs="Times New Roman"/>
          <w:bCs/>
        </w:rPr>
        <w:t>cortex)</w:t>
      </w:r>
      <w:proofErr w:type="gramEnd"/>
      <w:r w:rsidRPr="00AF57EF">
        <w:rPr>
          <w:rFonts w:ascii="Times New Roman" w:hAnsi="Times New Roman" w:cs="Times New Roman"/>
          <w:bCs/>
        </w:rPr>
        <w:t xml:space="preserve"> will also be studied in order to discuss the influence of inoculation on cognitive and emotional misinformation processing (</w:t>
      </w:r>
      <w:proofErr w:type="spellStart"/>
      <w:r w:rsidRPr="00AF57EF">
        <w:rPr>
          <w:rFonts w:ascii="Times New Roman" w:hAnsi="Times New Roman" w:cs="Times New Roman"/>
          <w:bCs/>
        </w:rPr>
        <w:t>Adolphs</w:t>
      </w:r>
      <w:proofErr w:type="spellEnd"/>
      <w:r w:rsidRPr="00AF57EF">
        <w:rPr>
          <w:rFonts w:ascii="Times New Roman" w:hAnsi="Times New Roman" w:cs="Times New Roman"/>
          <w:bCs/>
        </w:rPr>
        <w:t>, 2010).</w:t>
      </w:r>
    </w:p>
    <w:p w:rsidR="00F7669A" w:rsidRPr="00AF57EF" w:rsidRDefault="00F7669A" w:rsidP="00F7669A">
      <w:pPr>
        <w:spacing w:line="360" w:lineRule="auto"/>
        <w:jc w:val="both"/>
        <w:rPr>
          <w:rFonts w:ascii="Times New Roman" w:hAnsi="Times New Roman" w:cs="Times New Roman"/>
          <w:b/>
          <w:bCs/>
        </w:rPr>
      </w:pPr>
      <w:r w:rsidRPr="00AF57EF">
        <w:rPr>
          <w:rFonts w:ascii="Times New Roman" w:hAnsi="Times New Roman" w:cs="Times New Roman"/>
          <w:b/>
          <w:bCs/>
        </w:rPr>
        <w:t>Long-term predictors of immunity:</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t>In order to follow-up on the inoculation effects on the long run, a longitudinal analysis will be used based on the 6 months follow-up survey data. The predictors of long-term resistance to misinformation will also be found with the help of multiple regression analyses. The independent variables that will be studied will include political ideology, media literacy, cognitive biases, and baseline misinformation susceptibility as independent variables in terms of their effects on belief change over time.</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t xml:space="preserve">The objective is to find out what factors lead to the maintenance of inoculation effects and what personal attributes can mediate the success of intervention. Indeed, one can provide an example of cognitive dissonance being less resistant in those people, who are then less prone to changing their beliefs even after experiencing </w:t>
      </w:r>
      <w:proofErr w:type="spellStart"/>
      <w:r w:rsidRPr="00AF57EF">
        <w:rPr>
          <w:rFonts w:ascii="Times New Roman" w:hAnsi="Times New Roman" w:cs="Times New Roman"/>
          <w:bCs/>
        </w:rPr>
        <w:t>counterargumentation</w:t>
      </w:r>
      <w:proofErr w:type="spellEnd"/>
      <w:r w:rsidRPr="00AF57EF">
        <w:rPr>
          <w:rFonts w:ascii="Times New Roman" w:hAnsi="Times New Roman" w:cs="Times New Roman"/>
          <w:bCs/>
        </w:rPr>
        <w:t>. The importance of understanding these differences among individuals is to create more person-centered inoculation strategies that can be more efficient among different people.</w:t>
      </w:r>
    </w:p>
    <w:p w:rsidR="00F7669A" w:rsidRPr="00AF57EF" w:rsidRDefault="00F7669A" w:rsidP="00F7669A">
      <w:pPr>
        <w:spacing w:line="360" w:lineRule="auto"/>
        <w:jc w:val="both"/>
        <w:rPr>
          <w:rFonts w:ascii="Times New Roman" w:hAnsi="Times New Roman" w:cs="Times New Roman"/>
          <w:b/>
          <w:bCs/>
        </w:rPr>
      </w:pPr>
      <w:r>
        <w:rPr>
          <w:rFonts w:ascii="Times New Roman" w:hAnsi="Times New Roman" w:cs="Times New Roman"/>
          <w:b/>
          <w:bCs/>
        </w:rPr>
        <w:t>DISCUSSION</w:t>
      </w:r>
    </w:p>
    <w:p w:rsidR="00F7669A" w:rsidRPr="00AF57EF" w:rsidRDefault="00F7669A" w:rsidP="00F7669A">
      <w:pPr>
        <w:spacing w:line="360" w:lineRule="auto"/>
        <w:jc w:val="both"/>
        <w:rPr>
          <w:rFonts w:ascii="Times New Roman" w:hAnsi="Times New Roman" w:cs="Times New Roman"/>
          <w:b/>
          <w:bCs/>
        </w:rPr>
      </w:pPr>
      <w:r w:rsidRPr="00AF57EF">
        <w:rPr>
          <w:rFonts w:ascii="Times New Roman" w:hAnsi="Times New Roman" w:cs="Times New Roman"/>
          <w:b/>
          <w:bCs/>
        </w:rPr>
        <w:t xml:space="preserve">The process of neural inoculation involves three </w:t>
      </w:r>
      <w:proofErr w:type="gramStart"/>
      <w:r w:rsidRPr="00AF57EF">
        <w:rPr>
          <w:rFonts w:ascii="Times New Roman" w:hAnsi="Times New Roman" w:cs="Times New Roman"/>
          <w:b/>
          <w:bCs/>
        </w:rPr>
        <w:t>stages:</w:t>
      </w:r>
      <w:proofErr w:type="gramEnd"/>
      <w:r w:rsidRPr="00AF57EF">
        <w:rPr>
          <w:rFonts w:ascii="Times New Roman" w:hAnsi="Times New Roman" w:cs="Times New Roman"/>
          <w:b/>
          <w:bCs/>
        </w:rPr>
        <w:t>&lt;|human|&gt;Neural Inoculation Mechanisms:</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t>The outcomes of the fMRI data will offer very important information regarding the brain processes involved in cognitive inoculation. In particular, the research will focus on the question of whether prefrontal cortex (PFC) activation will be improved due to inoculation in case the participants are presented with misinformation. Past studies have indicated that PFC plays a role in cognitive control, updating of beliefs as well as conflict resolution in information processing (Miller and Cohen, 2001). In case the PFC is more activated due to the inoculation intervention, then it would indicate that inoculation improves the capacity of the participants to critically assess and withstand misinformation.</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t>The paper shall also investigate the role of the other parts of the brain in resistance to misinformation, including the amygdala and anterior cingulate cortex. The amygdala is linked to emotional reactions, especially the feeling of fear and detection of threats, whereas the anterior cingulate cortex is linked with feelings and evaluation of social data (</w:t>
      </w:r>
      <w:proofErr w:type="spellStart"/>
      <w:r w:rsidRPr="00AF57EF">
        <w:rPr>
          <w:rFonts w:ascii="Times New Roman" w:hAnsi="Times New Roman" w:cs="Times New Roman"/>
          <w:bCs/>
        </w:rPr>
        <w:t>Adolphs</w:t>
      </w:r>
      <w:proofErr w:type="spellEnd"/>
      <w:r w:rsidRPr="00AF57EF">
        <w:rPr>
          <w:rFonts w:ascii="Times New Roman" w:hAnsi="Times New Roman" w:cs="Times New Roman"/>
          <w:bCs/>
        </w:rPr>
        <w:t>, 2010). The effects on the activation of these regions following inoculation can show that the intervention does not only stimulate cognitive resistance but also alters emotional reactions to misinformation, thus, rendering them less convincing.</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t>The knowledge of the mechanisms of these neural processes will help gain a better insight into the cognitive inoculation of the brain, as well as provide a neurobiological explanation of the effectiveness of the intervention.</w:t>
      </w:r>
    </w:p>
    <w:p w:rsidR="00F7669A" w:rsidRPr="00AF57EF" w:rsidRDefault="00F7669A" w:rsidP="00F7669A">
      <w:pPr>
        <w:spacing w:line="360" w:lineRule="auto"/>
        <w:jc w:val="both"/>
        <w:rPr>
          <w:rFonts w:ascii="Times New Roman" w:hAnsi="Times New Roman" w:cs="Times New Roman"/>
          <w:b/>
          <w:bCs/>
        </w:rPr>
      </w:pPr>
      <w:r w:rsidRPr="00AF57EF">
        <w:rPr>
          <w:rFonts w:ascii="Times New Roman" w:hAnsi="Times New Roman" w:cs="Times New Roman"/>
          <w:b/>
          <w:bCs/>
        </w:rPr>
        <w:lastRenderedPageBreak/>
        <w:t>Individual Differences:</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t>The research will also examine the effects of variations in the individual differences in media literacy, cognitive biases, and political ideology on the effectiveness of cognitive inoculation. Political ideology is also revealed to determine the vulnerability to misinformation in people, and persons are more likely to accept misinformation that supports their own political beliefs (</w:t>
      </w:r>
      <w:proofErr w:type="spellStart"/>
      <w:r w:rsidRPr="00AF57EF">
        <w:rPr>
          <w:rFonts w:ascii="Times New Roman" w:hAnsi="Times New Roman" w:cs="Times New Roman"/>
          <w:bCs/>
        </w:rPr>
        <w:t>Pennycook</w:t>
      </w:r>
      <w:proofErr w:type="spellEnd"/>
      <w:r w:rsidRPr="00AF57EF">
        <w:rPr>
          <w:rFonts w:ascii="Times New Roman" w:hAnsi="Times New Roman" w:cs="Times New Roman"/>
          <w:bCs/>
        </w:rPr>
        <w:t xml:space="preserve"> and Rand, 2018). It is also possible that cognitive biases, including confirmation bias, can take a crucial role in individual responses towards inoculation. Individuals having deep confirmation biases might be less receptive to counterarguments and inoculation would not be effective in such situations.</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t>The study will be useful by determining the influence of individual differences in the success of inoculation on the effectiveness of the interventions by identifying ways in which they can be customized to optimize effectiveness. As an example, people with less media literacy can be provided with further training on skills of critical thinking in order to become more capable of assessing misinformation, and people with heavy political leanings may need more intensive inoculation plans.</w:t>
      </w:r>
    </w:p>
    <w:p w:rsidR="00F7669A" w:rsidRPr="00AF57EF" w:rsidRDefault="00F7669A" w:rsidP="00F7669A">
      <w:pPr>
        <w:spacing w:line="360" w:lineRule="auto"/>
        <w:jc w:val="both"/>
        <w:rPr>
          <w:rFonts w:ascii="Times New Roman" w:hAnsi="Times New Roman" w:cs="Times New Roman"/>
          <w:b/>
          <w:bCs/>
        </w:rPr>
      </w:pPr>
      <w:r w:rsidRPr="00AF57EF">
        <w:rPr>
          <w:rFonts w:ascii="Times New Roman" w:hAnsi="Times New Roman" w:cs="Times New Roman"/>
          <w:b/>
          <w:bCs/>
        </w:rPr>
        <w:t>Ethics of "</w:t>
      </w:r>
      <w:proofErr w:type="spellStart"/>
      <w:r w:rsidRPr="00AF57EF">
        <w:rPr>
          <w:rFonts w:ascii="Times New Roman" w:hAnsi="Times New Roman" w:cs="Times New Roman"/>
          <w:b/>
          <w:bCs/>
        </w:rPr>
        <w:t>Prebunking</w:t>
      </w:r>
      <w:proofErr w:type="spellEnd"/>
      <w:r w:rsidRPr="00AF57EF">
        <w:rPr>
          <w:rFonts w:ascii="Times New Roman" w:hAnsi="Times New Roman" w:cs="Times New Roman"/>
          <w:b/>
          <w:bCs/>
        </w:rPr>
        <w:t>":</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t xml:space="preserve">Although cognitive inoculation is an excellent theory of misinformation fight, it also causes some ethical dilemmas, especially in the area of </w:t>
      </w:r>
      <w:proofErr w:type="spellStart"/>
      <w:r w:rsidRPr="00AF57EF">
        <w:rPr>
          <w:rFonts w:ascii="Times New Roman" w:hAnsi="Times New Roman" w:cs="Times New Roman"/>
          <w:bCs/>
        </w:rPr>
        <w:t>prebunking</w:t>
      </w:r>
      <w:proofErr w:type="spellEnd"/>
      <w:r w:rsidRPr="00AF57EF">
        <w:rPr>
          <w:rFonts w:ascii="Times New Roman" w:hAnsi="Times New Roman" w:cs="Times New Roman"/>
          <w:bCs/>
        </w:rPr>
        <w:t xml:space="preserve">. The </w:t>
      </w:r>
      <w:proofErr w:type="spellStart"/>
      <w:r w:rsidRPr="00AF57EF">
        <w:rPr>
          <w:rFonts w:ascii="Times New Roman" w:hAnsi="Times New Roman" w:cs="Times New Roman"/>
          <w:bCs/>
        </w:rPr>
        <w:t>prebunking</w:t>
      </w:r>
      <w:proofErr w:type="spellEnd"/>
      <w:r w:rsidRPr="00AF57EF">
        <w:rPr>
          <w:rFonts w:ascii="Times New Roman" w:hAnsi="Times New Roman" w:cs="Times New Roman"/>
          <w:bCs/>
        </w:rPr>
        <w:t xml:space="preserve"> is the debunking of misinformation that happens before the people are exposed to it, and it is possible to regard it as a type of cognitive manipulation (</w:t>
      </w:r>
      <w:proofErr w:type="spellStart"/>
      <w:r w:rsidRPr="00AF57EF">
        <w:rPr>
          <w:rFonts w:ascii="Times New Roman" w:hAnsi="Times New Roman" w:cs="Times New Roman"/>
          <w:bCs/>
        </w:rPr>
        <w:t>Lewandowsky</w:t>
      </w:r>
      <w:proofErr w:type="spellEnd"/>
      <w:r w:rsidRPr="00AF57EF">
        <w:rPr>
          <w:rFonts w:ascii="Times New Roman" w:hAnsi="Times New Roman" w:cs="Times New Roman"/>
          <w:bCs/>
        </w:rPr>
        <w:t xml:space="preserve">, </w:t>
      </w:r>
      <w:proofErr w:type="spellStart"/>
      <w:r w:rsidRPr="00AF57EF">
        <w:rPr>
          <w:rFonts w:ascii="Times New Roman" w:hAnsi="Times New Roman" w:cs="Times New Roman"/>
          <w:bCs/>
        </w:rPr>
        <w:t>Ecker</w:t>
      </w:r>
      <w:proofErr w:type="spellEnd"/>
      <w:r w:rsidRPr="00AF57EF">
        <w:rPr>
          <w:rFonts w:ascii="Times New Roman" w:hAnsi="Times New Roman" w:cs="Times New Roman"/>
          <w:bCs/>
        </w:rPr>
        <w:t>, and Cook, 2017). Although inoculation is supposed to make the individuals more resistant to misinformation, there is a possibility that exposing the individuals to misinformation even in a weakened form can reinforce their already held beliefs even without appropriate implementation.</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t xml:space="preserve">The problem of autonomy is also present. The cognitive inoculation interventions may be regarded to have an effect in influencing the beliefs of individuals without their consent especially where the intervention aims at diminishing faith in misinformation. The problem of ethics is in having the balance between encouraging the common </w:t>
      </w:r>
      <w:proofErr w:type="gramStart"/>
      <w:r w:rsidRPr="00AF57EF">
        <w:rPr>
          <w:rFonts w:ascii="Times New Roman" w:hAnsi="Times New Roman" w:cs="Times New Roman"/>
          <w:bCs/>
        </w:rPr>
        <w:t>good, that is, curbing misinformation,</w:t>
      </w:r>
      <w:proofErr w:type="gramEnd"/>
      <w:r w:rsidRPr="00AF57EF">
        <w:rPr>
          <w:rFonts w:ascii="Times New Roman" w:hAnsi="Times New Roman" w:cs="Times New Roman"/>
          <w:bCs/>
        </w:rPr>
        <w:t xml:space="preserve"> and the autonomy of individuals. Further research on how to create transparent and ethical inoculation interventions offering individuals extra tools to make judgments and not violate their cognitive freedom should be done in the future.</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t>The paper will endeavor to present neurobiological support to the role of cognitive inoculation in mitigating misinformation vulnerability. The results will help us in the study of the neural processes underlying belief formation, updating and resistance to misinformation especially in the prefrontal cortex and emotional control. The study will provide information on how inoculation changes the brain activity to understand the manner in which cognitive inoculation operates in the brain and help to develop more effective and scalable interventions.</w:t>
      </w:r>
    </w:p>
    <w:p w:rsidR="00F7669A" w:rsidRPr="00AF57EF" w:rsidRDefault="00F7669A" w:rsidP="00F7669A">
      <w:pPr>
        <w:spacing w:line="360" w:lineRule="auto"/>
        <w:jc w:val="both"/>
        <w:rPr>
          <w:rFonts w:ascii="Times New Roman" w:hAnsi="Times New Roman" w:cs="Times New Roman"/>
        </w:rPr>
      </w:pPr>
      <w:r w:rsidRPr="00AF57EF">
        <w:rPr>
          <w:rFonts w:ascii="Times New Roman" w:hAnsi="Times New Roman" w:cs="Times New Roman"/>
          <w:bCs/>
        </w:rPr>
        <w:t xml:space="preserve">The practical implications of the results of the study will also be relevant in designing media literacy. Inoculation education programs can be created based on evidence to make people more resistant to misinformation, which will allow </w:t>
      </w:r>
      <w:r w:rsidRPr="00AF57EF">
        <w:rPr>
          <w:rFonts w:ascii="Times New Roman" w:hAnsi="Times New Roman" w:cs="Times New Roman"/>
          <w:bCs/>
        </w:rPr>
        <w:lastRenderedPageBreak/>
        <w:t>them to be more critical of the digital media. Also, the results will be used to shape policies related to mitigating misinformation, where the researchers will provide suggestions on how cognitive inoculation can be incorporated into the public health, the educational system, and internet marketplaces.</w:t>
      </w:r>
    </w:p>
    <w:p w:rsidR="00F7669A" w:rsidRPr="00AF57EF" w:rsidRDefault="00F7669A" w:rsidP="00F7669A">
      <w:pPr>
        <w:spacing w:line="360" w:lineRule="auto"/>
        <w:jc w:val="both"/>
        <w:rPr>
          <w:rFonts w:ascii="Times New Roman" w:hAnsi="Times New Roman" w:cs="Times New Roman"/>
          <w:b/>
          <w:bCs/>
        </w:rPr>
      </w:pPr>
      <w:r w:rsidRPr="00AF57EF">
        <w:rPr>
          <w:rFonts w:ascii="Times New Roman" w:hAnsi="Times New Roman" w:cs="Times New Roman"/>
          <w:b/>
          <w:bCs/>
        </w:rPr>
        <w:t>CONCLUSION/RECOMMENDATIONS:</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t xml:space="preserve">The results of the present research will play an important role in the comprehension of the functioning of cognitive inoculation, especially in a neurobiological understanding by contributing to the light on the effects of exposure to misinformation and counter-arguments on the activity of the brain. This research is the first neuropsychological support of the effectiveness of cognitive inoculation in decreasing vulnerability to misinformation by means of pre- and post-intervention fMRI scans. </w:t>
      </w:r>
      <w:proofErr w:type="gramStart"/>
      <w:r w:rsidRPr="00AF57EF">
        <w:rPr>
          <w:rFonts w:ascii="Times New Roman" w:hAnsi="Times New Roman" w:cs="Times New Roman"/>
          <w:bCs/>
        </w:rPr>
        <w:t>Prefrontal cortex, which plays a central role in cognitive control and update of beliefs (Miller &amp; Cohen, 2001), is also a region that is likely to undergo a great change in the activation pattern following intervention.</w:t>
      </w:r>
      <w:proofErr w:type="gramEnd"/>
      <w:r w:rsidRPr="00AF57EF">
        <w:rPr>
          <w:rFonts w:ascii="Times New Roman" w:hAnsi="Times New Roman" w:cs="Times New Roman"/>
          <w:bCs/>
        </w:rPr>
        <w:t xml:space="preserve"> Such alterations would imply that cognitive inoculation is not merely a way of altering behavior but rather is an active process that involves the use of neural pathways, which are related to the cognitive processes of critical thinking, self-regulation, and resistance to persuasive misinformation.</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t>Another important feature of the given study will be the long-term sustainability of the inoculation effect. The study will measure the permanence of cognitive inoculation by studying changes in beliefs in six months and what contributes to the lasting effects of cognitive inoculation. The results will show if inoculation is a one-time solution or its effects are persistent and can give some knowledge how to create long-lasting interventions against misinformation. This feature of the research is especially necessary in the era when new falsehoods are constantly created, and human beings require means to be strong throughout their lives.</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t>In a pragmatic perspective, the findings of the present study will be deeply relevant to our way of dealing with misinformation in digital media, population health, and learning. Misinformation can be transmitted more effectively and within a shorter time than ever before as people have more and more access to digital platforms. Cognitive inoculation is an evidence based approach to reverse this phenomenon. Using the results of this research in more extensive media literacy campaigns, teachers, health authorities, and legislators would be able to provide people with the means to identify and combat fake news. Media literacy interventions would be not merely theoretically sound, but also practically useful because of the development of an inoculation curriculum with the help of both cognitive and neurobiological evidence.</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t>It is however very important that also ethical considerations are put into consideration in this research. The cognitive inoculation interventions, although designed in the best interest of the society, should not override the cognitive autonomy of an individual. In this sense, the future inoculation plans must be transparent, voluntary and communicate in a manner that enables people to actively respond to information they come across. The autonomy problem and the risk of the backfire effect must be resolved by making sure that the inoculation information is not reinforcing the existing prejudice unintentionally (</w:t>
      </w:r>
      <w:proofErr w:type="spellStart"/>
      <w:r w:rsidRPr="00AF57EF">
        <w:rPr>
          <w:rFonts w:ascii="Times New Roman" w:hAnsi="Times New Roman" w:cs="Times New Roman"/>
          <w:bCs/>
        </w:rPr>
        <w:t>Lewandowsky</w:t>
      </w:r>
      <w:proofErr w:type="spellEnd"/>
      <w:r w:rsidRPr="00AF57EF">
        <w:rPr>
          <w:rFonts w:ascii="Times New Roman" w:hAnsi="Times New Roman" w:cs="Times New Roman"/>
          <w:bCs/>
        </w:rPr>
        <w:t xml:space="preserve">, </w:t>
      </w:r>
      <w:proofErr w:type="spellStart"/>
      <w:r w:rsidRPr="00AF57EF">
        <w:rPr>
          <w:rFonts w:ascii="Times New Roman" w:hAnsi="Times New Roman" w:cs="Times New Roman"/>
          <w:bCs/>
        </w:rPr>
        <w:t>Ecker</w:t>
      </w:r>
      <w:proofErr w:type="spellEnd"/>
      <w:r w:rsidRPr="00AF57EF">
        <w:rPr>
          <w:rFonts w:ascii="Times New Roman" w:hAnsi="Times New Roman" w:cs="Times New Roman"/>
          <w:bCs/>
        </w:rPr>
        <w:t>, and Cook, 2017). This balance is critical to the moral application of cognitive inoculation interventions in the society.</w:t>
      </w:r>
    </w:p>
    <w:p w:rsidR="00F7669A" w:rsidRPr="00AF57EF" w:rsidRDefault="00F7669A" w:rsidP="00F7669A">
      <w:pPr>
        <w:spacing w:line="360" w:lineRule="auto"/>
        <w:jc w:val="both"/>
        <w:rPr>
          <w:rFonts w:ascii="Times New Roman" w:hAnsi="Times New Roman" w:cs="Times New Roman"/>
          <w:b/>
          <w:bCs/>
        </w:rPr>
      </w:pPr>
      <w:r w:rsidRPr="00AF57EF">
        <w:rPr>
          <w:rFonts w:ascii="Times New Roman" w:hAnsi="Times New Roman" w:cs="Times New Roman"/>
          <w:b/>
          <w:bCs/>
        </w:rPr>
        <w:lastRenderedPageBreak/>
        <w:t>Future Research Recommendation:</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t>1.</w:t>
      </w:r>
      <w:r w:rsidRPr="00AF57EF">
        <w:rPr>
          <w:rFonts w:ascii="Times New Roman" w:hAnsi="Times New Roman" w:cs="Times New Roman"/>
          <w:bCs/>
        </w:rPr>
        <w:tab/>
        <w:t>Study The Long-term Impact of Being Inoculated on the Brain Plasticity:</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t xml:space="preserve">Although this research will be a useful source of information on the changes in brain activity in the short term after inoculation, the research should be conducted in the future to discover how the repeated exposure to inoculation training will have an impact on the brain plasticity in the long term. Is the enhanced activation of the prefrontal cortex to misinformation a long-lasting adaptation or does it </w:t>
      </w:r>
      <w:proofErr w:type="gramStart"/>
      <w:r w:rsidRPr="00AF57EF">
        <w:rPr>
          <w:rFonts w:ascii="Times New Roman" w:hAnsi="Times New Roman" w:cs="Times New Roman"/>
          <w:bCs/>
        </w:rPr>
        <w:t>die</w:t>
      </w:r>
      <w:proofErr w:type="gramEnd"/>
      <w:r w:rsidRPr="00AF57EF">
        <w:rPr>
          <w:rFonts w:ascii="Times New Roman" w:hAnsi="Times New Roman" w:cs="Times New Roman"/>
          <w:bCs/>
        </w:rPr>
        <w:t xml:space="preserve"> away? To answer these questions longitudinal neuroimaging studies are required.</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t>2.</w:t>
      </w:r>
      <w:r w:rsidRPr="00AF57EF">
        <w:rPr>
          <w:rFonts w:ascii="Times New Roman" w:hAnsi="Times New Roman" w:cs="Times New Roman"/>
          <w:bCs/>
        </w:rPr>
        <w:tab/>
        <w:t xml:space="preserve">Test Inoculation of </w:t>
      </w:r>
      <w:proofErr w:type="spellStart"/>
      <w:r w:rsidRPr="00AF57EF">
        <w:rPr>
          <w:rFonts w:ascii="Times New Roman" w:hAnsi="Times New Roman" w:cs="Times New Roman"/>
          <w:bCs/>
        </w:rPr>
        <w:t>Misinformations</w:t>
      </w:r>
      <w:proofErr w:type="spellEnd"/>
      <w:r w:rsidRPr="00AF57EF">
        <w:rPr>
          <w:rFonts w:ascii="Times New Roman" w:hAnsi="Times New Roman" w:cs="Times New Roman"/>
          <w:bCs/>
        </w:rPr>
        <w:t xml:space="preserve"> of Various types:</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t xml:space="preserve">Future research directions include investigating the hypothesis of whether inoculation is equally effective in different forms of misinformation including political, health-related, and environmental misinformation. The knowledge of how inoculation can be applied </w:t>
      </w:r>
      <w:proofErr w:type="gramStart"/>
      <w:r w:rsidRPr="00AF57EF">
        <w:rPr>
          <w:rFonts w:ascii="Times New Roman" w:hAnsi="Times New Roman" w:cs="Times New Roman"/>
          <w:bCs/>
        </w:rPr>
        <w:t>to various content</w:t>
      </w:r>
      <w:proofErr w:type="gramEnd"/>
      <w:r w:rsidRPr="00AF57EF">
        <w:rPr>
          <w:rFonts w:ascii="Times New Roman" w:hAnsi="Times New Roman" w:cs="Times New Roman"/>
          <w:bCs/>
        </w:rPr>
        <w:t xml:space="preserve"> may result into more specific interventions targeting specific needs of specific communities.</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t>3.</w:t>
      </w:r>
      <w:r w:rsidRPr="00AF57EF">
        <w:rPr>
          <w:rFonts w:ascii="Times New Roman" w:hAnsi="Times New Roman" w:cs="Times New Roman"/>
          <w:bCs/>
        </w:rPr>
        <w:tab/>
        <w:t>Examine Cultural and Social Surveillance and Inoculation Response:</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t>Inoculation may not be effective in different cultures and in different social settings. As an example, the response of individualistic cultures to inoculation approaches might differ with that of collectivist cultures. Also social norms and group identities can have an impact on the process that people misinformation and react to inoculation. Future studies ought to investigate these social and cultural influences in order to come up with better inoculation interventions which are sensitive to culture.</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t>4.</w:t>
      </w:r>
      <w:r w:rsidRPr="00AF57EF">
        <w:rPr>
          <w:rFonts w:ascii="Times New Roman" w:hAnsi="Times New Roman" w:cs="Times New Roman"/>
          <w:bCs/>
        </w:rPr>
        <w:tab/>
        <w:t>Research Question: Does Emotional Regulation play a role in Misinformation Resistance?</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t>Misinformation can commonly result in an emotional reaction, and therefore one should consider the possibility that inoculation can also influence emotional control within the brain. Research could look into how not only cognitive resistance is increased by inoculation, but also the emotional enticement of misinformation is curtailed, and they become less convincing. Knowledge of this emotional component may enhance the planning of inoculation intervention programs to deal with both cognitive and emotional components of misinformation belief formation.</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t>5.</w:t>
      </w:r>
      <w:r w:rsidRPr="00AF57EF">
        <w:rPr>
          <w:rFonts w:ascii="Times New Roman" w:hAnsi="Times New Roman" w:cs="Times New Roman"/>
          <w:bCs/>
        </w:rPr>
        <w:tab/>
        <w:t>Increase the Vulnerable Populations to receive inoculation:</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t xml:space="preserve">Less media </w:t>
      </w:r>
      <w:proofErr w:type="spellStart"/>
      <w:r w:rsidRPr="00AF57EF">
        <w:rPr>
          <w:rFonts w:ascii="Times New Roman" w:hAnsi="Times New Roman" w:cs="Times New Roman"/>
          <w:bCs/>
        </w:rPr>
        <w:t>literated</w:t>
      </w:r>
      <w:proofErr w:type="spellEnd"/>
      <w:r w:rsidRPr="00AF57EF">
        <w:rPr>
          <w:rFonts w:ascii="Times New Roman" w:hAnsi="Times New Roman" w:cs="Times New Roman"/>
          <w:bCs/>
        </w:rPr>
        <w:t xml:space="preserve"> people or those who are more vulnerable to misinformation because of cognitive biases can be considered beneficiaries of custom inoculation programs. Future studies ought to be directed to establish and evaluate inoculation strategies that are specifically tailored to vulnerable groups, including older adults, people with low education level, and people representing the marginalized groups.</w:t>
      </w:r>
    </w:p>
    <w:p w:rsidR="00F7669A" w:rsidRPr="00AF57EF" w:rsidRDefault="00F7669A" w:rsidP="00F7669A">
      <w:pPr>
        <w:spacing w:line="360" w:lineRule="auto"/>
        <w:jc w:val="both"/>
        <w:rPr>
          <w:rFonts w:ascii="Times New Roman" w:hAnsi="Times New Roman" w:cs="Times New Roman"/>
          <w:b/>
          <w:bCs/>
        </w:rPr>
      </w:pPr>
      <w:r w:rsidRPr="00AF57EF">
        <w:rPr>
          <w:rFonts w:ascii="Times New Roman" w:hAnsi="Times New Roman" w:cs="Times New Roman"/>
          <w:b/>
          <w:bCs/>
        </w:rPr>
        <w:t>Policy and Practice Implications:</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lastRenderedPageBreak/>
        <w:t>The results of the current study promise significant value to the future of misinformation mitigation efforts by the public policy as well as media literacy interventions. To begin with, the study offers neurobiological evidence of the effectiveness of cognitive inoculation as one of the main arguments in favor of including the practice of inoculation training in current education and public health systems. Incidentally, the development of scalable inoculation programs, which can be carried out at school, workplaces, and community centers, would make people think critically, regarding the information they are receiving online and via the traditional media.</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t>Second, media literacy programs founded on the premises of cognitive inoculation could get implemented on various levels of education. Educational courses on how to identify false information, learn its tricks, and counter-argue will contribute to the development of a generation that will be more prepared to operate in the information environment. Through incorporation of neuropsychological understanding of such programs, the educators will be able to develop interventions that are more effective and interesting.</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t>Moreover, the findings can also be used by policy makers to design policies to encourage media literacy education and popular campaigns against misinformation. The governments may work with technology firms to use inoculation-based interventions on social media applications, which are most susceptible to misinformation. Such interventions may be in form of pop-up messages or short educative videos, which offer the user with the means of determining the validity of the information he is receiving.</w:t>
      </w:r>
    </w:p>
    <w:p w:rsidR="00F7669A" w:rsidRPr="00AF57EF" w:rsidRDefault="00F7669A" w:rsidP="00F7669A">
      <w:pPr>
        <w:spacing w:line="360" w:lineRule="auto"/>
        <w:jc w:val="both"/>
        <w:rPr>
          <w:rFonts w:ascii="Times New Roman" w:hAnsi="Times New Roman" w:cs="Times New Roman"/>
          <w:bCs/>
        </w:rPr>
      </w:pPr>
      <w:r w:rsidRPr="00AF57EF">
        <w:rPr>
          <w:rFonts w:ascii="Times New Roman" w:hAnsi="Times New Roman" w:cs="Times New Roman"/>
          <w:bCs/>
        </w:rPr>
        <w:t>Lastly, the ethical considerations to be realized by this study will make sure that misinformation interventions are carried out in a manner that does not interfere with autonomy of individuals. The policymakers and other health officials must make sure that any inoculation programs implemented are voluntary, transparent and in a way that allows people to have the opportunity of making informed choices about what they read.</w:t>
      </w:r>
    </w:p>
    <w:p w:rsidR="00F7669A" w:rsidRPr="00AF57EF" w:rsidRDefault="00F7669A" w:rsidP="00F7669A">
      <w:pPr>
        <w:spacing w:line="360" w:lineRule="auto"/>
        <w:jc w:val="both"/>
        <w:rPr>
          <w:rFonts w:ascii="Times New Roman" w:hAnsi="Times New Roman" w:cs="Times New Roman"/>
        </w:rPr>
      </w:pPr>
      <w:r w:rsidRPr="00AF57EF">
        <w:rPr>
          <w:rFonts w:ascii="Times New Roman" w:hAnsi="Times New Roman" w:cs="Times New Roman"/>
          <w:bCs/>
        </w:rPr>
        <w:t xml:space="preserve">Finally, the proposed study will present the initial neurobiological support of the effectiveness of cognitive inoculation to minimize the vulnerability to misinformation. The study will provide novel information regarding the mechanism of action of cognitive inoculation on the brain by using the fMRI in monitoring the changes in brain activity, especially in the prefrontal cortex. The findings will offer a neurobiological basis of misinformation interventions to support future studies and practice. By creating scalable initiatives to inoculate against false information and </w:t>
      </w:r>
      <w:proofErr w:type="spellStart"/>
      <w:r w:rsidRPr="00AF57EF">
        <w:rPr>
          <w:rFonts w:ascii="Times New Roman" w:hAnsi="Times New Roman" w:cs="Times New Roman"/>
          <w:bCs/>
        </w:rPr>
        <w:t>neuroethical</w:t>
      </w:r>
      <w:proofErr w:type="spellEnd"/>
      <w:r w:rsidRPr="00AF57EF">
        <w:rPr>
          <w:rFonts w:ascii="Times New Roman" w:hAnsi="Times New Roman" w:cs="Times New Roman"/>
          <w:bCs/>
        </w:rPr>
        <w:t xml:space="preserve"> principles, this research will open the way to developing more efficient and evidence-based interventions to fight the dissemination of false information in the digital age.</w:t>
      </w:r>
    </w:p>
    <w:p w:rsidR="00F7669A" w:rsidRPr="00AF57EF" w:rsidRDefault="00F7669A" w:rsidP="00F7669A">
      <w:pPr>
        <w:spacing w:line="360" w:lineRule="auto"/>
        <w:jc w:val="both"/>
        <w:rPr>
          <w:rFonts w:ascii="Times New Roman" w:hAnsi="Times New Roman" w:cs="Times New Roman"/>
          <w:b/>
        </w:rPr>
      </w:pPr>
      <w:r w:rsidRPr="00AF57EF">
        <w:rPr>
          <w:rFonts w:ascii="Times New Roman" w:hAnsi="Times New Roman" w:cs="Times New Roman"/>
          <w:b/>
          <w:bCs/>
        </w:rPr>
        <w:t>REFERENCES:</w:t>
      </w:r>
    </w:p>
    <w:p w:rsidR="00F7669A" w:rsidRPr="00AF57EF" w:rsidRDefault="00F7669A" w:rsidP="00F7669A">
      <w:pPr>
        <w:spacing w:line="360" w:lineRule="auto"/>
        <w:jc w:val="both"/>
        <w:rPr>
          <w:rFonts w:ascii="Times New Roman" w:hAnsi="Times New Roman" w:cs="Times New Roman"/>
        </w:rPr>
      </w:pPr>
      <w:proofErr w:type="spellStart"/>
      <w:r w:rsidRPr="00AF57EF">
        <w:rPr>
          <w:rFonts w:ascii="Times New Roman" w:hAnsi="Times New Roman" w:cs="Times New Roman"/>
        </w:rPr>
        <w:t>Adolphs</w:t>
      </w:r>
      <w:proofErr w:type="spellEnd"/>
      <w:r w:rsidRPr="00AF57EF">
        <w:rPr>
          <w:rFonts w:ascii="Times New Roman" w:hAnsi="Times New Roman" w:cs="Times New Roman"/>
        </w:rPr>
        <w:t xml:space="preserve">, R. (2010). </w:t>
      </w:r>
      <w:r w:rsidRPr="00AF57EF">
        <w:rPr>
          <w:rFonts w:ascii="Times New Roman" w:hAnsi="Times New Roman" w:cs="Times New Roman"/>
          <w:i/>
          <w:iCs/>
        </w:rPr>
        <w:t>What does the amygdala contribute to social cognition?</w:t>
      </w:r>
      <w:r w:rsidRPr="00AF57EF">
        <w:rPr>
          <w:rFonts w:ascii="Times New Roman" w:hAnsi="Times New Roman" w:cs="Times New Roman"/>
        </w:rPr>
        <w:t xml:space="preserve"> Annual Review of Psychology, 61, 1-27.</w:t>
      </w:r>
    </w:p>
    <w:p w:rsidR="00F7669A" w:rsidRPr="00AF57EF" w:rsidRDefault="00F7669A" w:rsidP="00F7669A">
      <w:pPr>
        <w:spacing w:line="360" w:lineRule="auto"/>
        <w:jc w:val="both"/>
        <w:rPr>
          <w:rFonts w:ascii="Times New Roman" w:hAnsi="Times New Roman" w:cs="Times New Roman"/>
        </w:rPr>
      </w:pPr>
      <w:proofErr w:type="spellStart"/>
      <w:proofErr w:type="gramStart"/>
      <w:r w:rsidRPr="00AF57EF">
        <w:rPr>
          <w:rFonts w:ascii="Times New Roman" w:hAnsi="Times New Roman" w:cs="Times New Roman"/>
        </w:rPr>
        <w:t>Chaiken</w:t>
      </w:r>
      <w:proofErr w:type="spellEnd"/>
      <w:r w:rsidRPr="00AF57EF">
        <w:rPr>
          <w:rFonts w:ascii="Times New Roman" w:hAnsi="Times New Roman" w:cs="Times New Roman"/>
        </w:rPr>
        <w:t>, S., &amp; Trope, Y. (1999).</w:t>
      </w:r>
      <w:proofErr w:type="gramEnd"/>
      <w:r w:rsidRPr="00AF57EF">
        <w:rPr>
          <w:rFonts w:ascii="Times New Roman" w:hAnsi="Times New Roman" w:cs="Times New Roman"/>
        </w:rPr>
        <w:t xml:space="preserve"> </w:t>
      </w:r>
      <w:proofErr w:type="gramStart"/>
      <w:r w:rsidRPr="00AF57EF">
        <w:rPr>
          <w:rFonts w:ascii="Times New Roman" w:hAnsi="Times New Roman" w:cs="Times New Roman"/>
          <w:i/>
          <w:iCs/>
        </w:rPr>
        <w:t>Dual-process theories in social psychology</w:t>
      </w:r>
      <w:r w:rsidRPr="00AF57EF">
        <w:rPr>
          <w:rFonts w:ascii="Times New Roman" w:hAnsi="Times New Roman" w:cs="Times New Roman"/>
        </w:rPr>
        <w:t>.</w:t>
      </w:r>
      <w:proofErr w:type="gramEnd"/>
      <w:r w:rsidRPr="00AF57EF">
        <w:rPr>
          <w:rFonts w:ascii="Times New Roman" w:hAnsi="Times New Roman" w:cs="Times New Roman"/>
        </w:rPr>
        <w:t xml:space="preserve"> </w:t>
      </w:r>
      <w:proofErr w:type="gramStart"/>
      <w:r w:rsidRPr="00AF57EF">
        <w:rPr>
          <w:rFonts w:ascii="Times New Roman" w:hAnsi="Times New Roman" w:cs="Times New Roman"/>
        </w:rPr>
        <w:t>Guilford Press.</w:t>
      </w:r>
      <w:proofErr w:type="gramEnd"/>
    </w:p>
    <w:p w:rsidR="00F7669A" w:rsidRPr="00AF57EF" w:rsidRDefault="00F7669A" w:rsidP="00F7669A">
      <w:pPr>
        <w:spacing w:line="360" w:lineRule="auto"/>
        <w:jc w:val="both"/>
        <w:rPr>
          <w:rFonts w:ascii="Times New Roman" w:hAnsi="Times New Roman" w:cs="Times New Roman"/>
        </w:rPr>
      </w:pPr>
      <w:proofErr w:type="spellStart"/>
      <w:proofErr w:type="gramStart"/>
      <w:r w:rsidRPr="00AF57EF">
        <w:rPr>
          <w:rFonts w:ascii="Times New Roman" w:hAnsi="Times New Roman" w:cs="Times New Roman"/>
        </w:rPr>
        <w:t>Lewandowsky</w:t>
      </w:r>
      <w:proofErr w:type="spellEnd"/>
      <w:r w:rsidRPr="00AF57EF">
        <w:rPr>
          <w:rFonts w:ascii="Times New Roman" w:hAnsi="Times New Roman" w:cs="Times New Roman"/>
        </w:rPr>
        <w:t xml:space="preserve">, S., </w:t>
      </w:r>
      <w:proofErr w:type="spellStart"/>
      <w:r w:rsidRPr="00AF57EF">
        <w:rPr>
          <w:rFonts w:ascii="Times New Roman" w:hAnsi="Times New Roman" w:cs="Times New Roman"/>
        </w:rPr>
        <w:t>Ecker</w:t>
      </w:r>
      <w:proofErr w:type="spellEnd"/>
      <w:r w:rsidRPr="00AF57EF">
        <w:rPr>
          <w:rFonts w:ascii="Times New Roman" w:hAnsi="Times New Roman" w:cs="Times New Roman"/>
        </w:rPr>
        <w:t>, U. K. H., &amp; Cook, J. (2017).</w:t>
      </w:r>
      <w:proofErr w:type="gramEnd"/>
      <w:r w:rsidRPr="00AF57EF">
        <w:rPr>
          <w:rFonts w:ascii="Times New Roman" w:hAnsi="Times New Roman" w:cs="Times New Roman"/>
        </w:rPr>
        <w:t xml:space="preserve"> </w:t>
      </w:r>
      <w:proofErr w:type="gramStart"/>
      <w:r w:rsidRPr="00AF57EF">
        <w:rPr>
          <w:rFonts w:ascii="Times New Roman" w:hAnsi="Times New Roman" w:cs="Times New Roman"/>
          <w:i/>
          <w:iCs/>
        </w:rPr>
        <w:t>The debunking handbook</w:t>
      </w:r>
      <w:r w:rsidRPr="00AF57EF">
        <w:rPr>
          <w:rFonts w:ascii="Times New Roman" w:hAnsi="Times New Roman" w:cs="Times New Roman"/>
        </w:rPr>
        <w:t>.</w:t>
      </w:r>
      <w:proofErr w:type="gramEnd"/>
      <w:r w:rsidRPr="00AF57EF">
        <w:rPr>
          <w:rFonts w:ascii="Times New Roman" w:hAnsi="Times New Roman" w:cs="Times New Roman"/>
        </w:rPr>
        <w:t xml:space="preserve"> </w:t>
      </w:r>
      <w:proofErr w:type="gramStart"/>
      <w:r w:rsidRPr="00AF57EF">
        <w:rPr>
          <w:rFonts w:ascii="Times New Roman" w:hAnsi="Times New Roman" w:cs="Times New Roman"/>
        </w:rPr>
        <w:t>Australian National Centre for the Public Awareness of Science.</w:t>
      </w:r>
      <w:proofErr w:type="gramEnd"/>
    </w:p>
    <w:p w:rsidR="00F7669A" w:rsidRPr="00AF57EF" w:rsidRDefault="00F7669A" w:rsidP="00F7669A">
      <w:pPr>
        <w:spacing w:line="360" w:lineRule="auto"/>
        <w:jc w:val="both"/>
        <w:rPr>
          <w:rFonts w:ascii="Times New Roman" w:hAnsi="Times New Roman" w:cs="Times New Roman"/>
        </w:rPr>
      </w:pPr>
      <w:r w:rsidRPr="00AF57EF">
        <w:rPr>
          <w:rFonts w:ascii="Times New Roman" w:hAnsi="Times New Roman" w:cs="Times New Roman"/>
        </w:rPr>
        <w:lastRenderedPageBreak/>
        <w:t xml:space="preserve">McGuire, W. J. (1961). </w:t>
      </w:r>
      <w:proofErr w:type="gramStart"/>
      <w:r w:rsidRPr="00AF57EF">
        <w:rPr>
          <w:rFonts w:ascii="Times New Roman" w:hAnsi="Times New Roman" w:cs="Times New Roman"/>
          <w:i/>
          <w:iCs/>
        </w:rPr>
        <w:t>Resistance to persuasion and attitude change</w:t>
      </w:r>
      <w:r w:rsidRPr="00AF57EF">
        <w:rPr>
          <w:rFonts w:ascii="Times New Roman" w:hAnsi="Times New Roman" w:cs="Times New Roman"/>
        </w:rPr>
        <w:t>.</w:t>
      </w:r>
      <w:proofErr w:type="gramEnd"/>
      <w:r w:rsidRPr="00AF57EF">
        <w:rPr>
          <w:rFonts w:ascii="Times New Roman" w:hAnsi="Times New Roman" w:cs="Times New Roman"/>
        </w:rPr>
        <w:t xml:space="preserve"> Psychological Bulletin, 58(1), 77-88.</w:t>
      </w:r>
    </w:p>
    <w:p w:rsidR="00F7669A" w:rsidRPr="00AF57EF" w:rsidRDefault="00F7669A" w:rsidP="00F7669A">
      <w:pPr>
        <w:spacing w:line="360" w:lineRule="auto"/>
        <w:jc w:val="both"/>
        <w:rPr>
          <w:rFonts w:ascii="Times New Roman" w:hAnsi="Times New Roman" w:cs="Times New Roman"/>
        </w:rPr>
      </w:pPr>
      <w:proofErr w:type="gramStart"/>
      <w:r w:rsidRPr="00AF57EF">
        <w:rPr>
          <w:rFonts w:ascii="Times New Roman" w:hAnsi="Times New Roman" w:cs="Times New Roman"/>
        </w:rPr>
        <w:t>Miller, E. K., &amp; Cohen, J. D. (2001).</w:t>
      </w:r>
      <w:proofErr w:type="gramEnd"/>
      <w:r w:rsidRPr="00AF57EF">
        <w:rPr>
          <w:rFonts w:ascii="Times New Roman" w:hAnsi="Times New Roman" w:cs="Times New Roman"/>
        </w:rPr>
        <w:t xml:space="preserve"> </w:t>
      </w:r>
      <w:proofErr w:type="gramStart"/>
      <w:r w:rsidRPr="00AF57EF">
        <w:rPr>
          <w:rFonts w:ascii="Times New Roman" w:hAnsi="Times New Roman" w:cs="Times New Roman"/>
          <w:i/>
          <w:iCs/>
        </w:rPr>
        <w:t>An integrative theory of prefrontal cortex function</w:t>
      </w:r>
      <w:r w:rsidRPr="00AF57EF">
        <w:rPr>
          <w:rFonts w:ascii="Times New Roman" w:hAnsi="Times New Roman" w:cs="Times New Roman"/>
        </w:rPr>
        <w:t>.</w:t>
      </w:r>
      <w:proofErr w:type="gramEnd"/>
      <w:r w:rsidRPr="00AF57EF">
        <w:rPr>
          <w:rFonts w:ascii="Times New Roman" w:hAnsi="Times New Roman" w:cs="Times New Roman"/>
        </w:rPr>
        <w:t xml:space="preserve"> Annual Review of Neuroscience, 24, 167-202.</w:t>
      </w:r>
    </w:p>
    <w:p w:rsidR="00F7669A" w:rsidRPr="00AF57EF" w:rsidRDefault="00F7669A" w:rsidP="00F7669A">
      <w:pPr>
        <w:spacing w:line="360" w:lineRule="auto"/>
        <w:jc w:val="both"/>
        <w:rPr>
          <w:rFonts w:ascii="Times New Roman" w:hAnsi="Times New Roman" w:cs="Times New Roman"/>
        </w:rPr>
      </w:pPr>
      <w:proofErr w:type="spellStart"/>
      <w:proofErr w:type="gramStart"/>
      <w:r w:rsidRPr="00AF57EF">
        <w:rPr>
          <w:rFonts w:ascii="Times New Roman" w:hAnsi="Times New Roman" w:cs="Times New Roman"/>
        </w:rPr>
        <w:t>Pennycook</w:t>
      </w:r>
      <w:proofErr w:type="spellEnd"/>
      <w:r w:rsidRPr="00AF57EF">
        <w:rPr>
          <w:rFonts w:ascii="Times New Roman" w:hAnsi="Times New Roman" w:cs="Times New Roman"/>
        </w:rPr>
        <w:t>, G., &amp; Rand, D. G. (2018).</w:t>
      </w:r>
      <w:proofErr w:type="gramEnd"/>
      <w:r w:rsidRPr="00AF57EF">
        <w:rPr>
          <w:rFonts w:ascii="Times New Roman" w:hAnsi="Times New Roman" w:cs="Times New Roman"/>
        </w:rPr>
        <w:t xml:space="preserve"> </w:t>
      </w:r>
      <w:proofErr w:type="gramStart"/>
      <w:r w:rsidRPr="00AF57EF">
        <w:rPr>
          <w:rFonts w:ascii="Times New Roman" w:hAnsi="Times New Roman" w:cs="Times New Roman"/>
        </w:rPr>
        <w:t>Fighting misinformation on the internet.</w:t>
      </w:r>
      <w:proofErr w:type="gramEnd"/>
      <w:r w:rsidRPr="00AF57EF">
        <w:rPr>
          <w:rFonts w:ascii="Times New Roman" w:hAnsi="Times New Roman" w:cs="Times New Roman"/>
        </w:rPr>
        <w:t xml:space="preserve"> </w:t>
      </w:r>
      <w:r w:rsidRPr="00AF57EF">
        <w:rPr>
          <w:rFonts w:ascii="Times New Roman" w:hAnsi="Times New Roman" w:cs="Times New Roman"/>
          <w:i/>
          <w:iCs/>
        </w:rPr>
        <w:t>Psychological Science in the Public Interest, 19</w:t>
      </w:r>
      <w:r w:rsidRPr="00AF57EF">
        <w:rPr>
          <w:rFonts w:ascii="Times New Roman" w:hAnsi="Times New Roman" w:cs="Times New Roman"/>
        </w:rPr>
        <w:t>(3), 1-40.</w:t>
      </w:r>
    </w:p>
    <w:p w:rsidR="00BE0F3C" w:rsidRPr="00BE0F3C" w:rsidRDefault="00BE0F3C" w:rsidP="00F7669A">
      <w:pPr>
        <w:pStyle w:val="BodyText"/>
        <w:spacing w:before="201"/>
        <w:jc w:val="both"/>
        <w:rPr>
          <w:rFonts w:asciiTheme="majorHAnsi" w:hAnsiTheme="majorHAnsi"/>
          <w:sz w:val="20"/>
          <w:szCs w:val="20"/>
        </w:rPr>
      </w:pPr>
    </w:p>
    <w:sectPr w:rsidR="00BE0F3C" w:rsidRPr="00BE0F3C" w:rsidSect="00F7669A">
      <w:headerReference w:type="default" r:id="rId16"/>
      <w:footerReference w:type="default" r:id="rId17"/>
      <w:pgSz w:w="12240" w:h="15840" w:code="1"/>
      <w:pgMar w:top="720" w:right="720" w:bottom="720" w:left="720" w:header="720" w:footer="720" w:gutter="0"/>
      <w:pgNumType w:start="2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692" w:rsidRDefault="00FA2692" w:rsidP="00BE0F3C">
      <w:pPr>
        <w:spacing w:after="0" w:line="240" w:lineRule="auto"/>
      </w:pPr>
      <w:r>
        <w:separator/>
      </w:r>
    </w:p>
  </w:endnote>
  <w:endnote w:type="continuationSeparator" w:id="0">
    <w:p w:rsidR="00FA2692" w:rsidRDefault="00FA2692" w:rsidP="00BE0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957"/>
      <w:gridCol w:w="1102"/>
      <w:gridCol w:w="4957"/>
    </w:tblGrid>
    <w:tr w:rsidR="00BE0F3C">
      <w:trPr>
        <w:trHeight w:val="151"/>
      </w:trPr>
      <w:tc>
        <w:tcPr>
          <w:tcW w:w="2250" w:type="pct"/>
          <w:tcBorders>
            <w:bottom w:val="single" w:sz="4" w:space="0" w:color="4F81BD" w:themeColor="accent1"/>
          </w:tcBorders>
        </w:tcPr>
        <w:p w:rsidR="00BE0F3C" w:rsidRDefault="00BE0F3C">
          <w:pPr>
            <w:pStyle w:val="Header"/>
            <w:rPr>
              <w:rFonts w:asciiTheme="majorHAnsi" w:eastAsiaTheme="majorEastAsia" w:hAnsiTheme="majorHAnsi" w:cstheme="majorBidi"/>
              <w:b/>
              <w:bCs/>
            </w:rPr>
          </w:pPr>
        </w:p>
      </w:tc>
      <w:tc>
        <w:tcPr>
          <w:tcW w:w="500" w:type="pct"/>
          <w:vMerge w:val="restart"/>
          <w:noWrap/>
          <w:vAlign w:val="center"/>
        </w:tcPr>
        <w:p w:rsidR="00BE0F3C" w:rsidRPr="00BE0F3C" w:rsidRDefault="00BE0F3C">
          <w:pPr>
            <w:pStyle w:val="NoSpacing"/>
            <w:rPr>
              <w:rFonts w:asciiTheme="majorHAnsi" w:eastAsiaTheme="majorEastAsia" w:hAnsiTheme="majorHAnsi" w:cstheme="majorBidi"/>
            </w:rPr>
          </w:pPr>
          <w:r w:rsidRPr="00BE0F3C">
            <w:rPr>
              <w:rFonts w:asciiTheme="majorHAnsi" w:eastAsiaTheme="majorEastAsia" w:hAnsiTheme="majorHAnsi" w:cstheme="majorBidi"/>
              <w:b/>
              <w:bCs/>
              <w:sz w:val="20"/>
            </w:rPr>
            <w:t xml:space="preserve">Page </w:t>
          </w:r>
          <w:r w:rsidRPr="00BE0F3C">
            <w:rPr>
              <w:rFonts w:asciiTheme="majorHAnsi" w:hAnsiTheme="majorHAnsi"/>
              <w:sz w:val="20"/>
            </w:rPr>
            <w:fldChar w:fldCharType="begin"/>
          </w:r>
          <w:r w:rsidRPr="00BE0F3C">
            <w:rPr>
              <w:rFonts w:asciiTheme="majorHAnsi" w:hAnsiTheme="majorHAnsi"/>
              <w:sz w:val="20"/>
            </w:rPr>
            <w:instrText xml:space="preserve"> PAGE  \* MERGEFORMAT </w:instrText>
          </w:r>
          <w:r w:rsidRPr="00BE0F3C">
            <w:rPr>
              <w:rFonts w:asciiTheme="majorHAnsi" w:hAnsiTheme="majorHAnsi"/>
              <w:sz w:val="20"/>
            </w:rPr>
            <w:fldChar w:fldCharType="separate"/>
          </w:r>
          <w:r w:rsidR="00DB0BCD" w:rsidRPr="00DB0BCD">
            <w:rPr>
              <w:rFonts w:asciiTheme="majorHAnsi" w:eastAsiaTheme="majorEastAsia" w:hAnsiTheme="majorHAnsi" w:cstheme="majorBidi"/>
              <w:b/>
              <w:bCs/>
              <w:noProof/>
              <w:sz w:val="20"/>
            </w:rPr>
            <w:t>28</w:t>
          </w:r>
          <w:r w:rsidRPr="00BE0F3C">
            <w:rPr>
              <w:rFonts w:asciiTheme="majorHAnsi" w:eastAsiaTheme="majorEastAsia" w:hAnsiTheme="majorHAnsi" w:cstheme="majorBidi"/>
              <w:b/>
              <w:bCs/>
              <w:noProof/>
              <w:sz w:val="20"/>
            </w:rPr>
            <w:fldChar w:fldCharType="end"/>
          </w:r>
        </w:p>
      </w:tc>
      <w:tc>
        <w:tcPr>
          <w:tcW w:w="2250" w:type="pct"/>
          <w:tcBorders>
            <w:bottom w:val="single" w:sz="4" w:space="0" w:color="4F81BD" w:themeColor="accent1"/>
          </w:tcBorders>
        </w:tcPr>
        <w:p w:rsidR="00BE0F3C" w:rsidRDefault="00BE0F3C">
          <w:pPr>
            <w:pStyle w:val="Header"/>
            <w:rPr>
              <w:rFonts w:asciiTheme="majorHAnsi" w:eastAsiaTheme="majorEastAsia" w:hAnsiTheme="majorHAnsi" w:cstheme="majorBidi"/>
              <w:b/>
              <w:bCs/>
            </w:rPr>
          </w:pPr>
        </w:p>
      </w:tc>
    </w:tr>
    <w:tr w:rsidR="00BE0F3C">
      <w:trPr>
        <w:trHeight w:val="150"/>
      </w:trPr>
      <w:tc>
        <w:tcPr>
          <w:tcW w:w="2250" w:type="pct"/>
          <w:tcBorders>
            <w:top w:val="single" w:sz="4" w:space="0" w:color="4F81BD" w:themeColor="accent1"/>
          </w:tcBorders>
        </w:tcPr>
        <w:p w:rsidR="00BE0F3C" w:rsidRDefault="00BE0F3C">
          <w:pPr>
            <w:pStyle w:val="Header"/>
            <w:rPr>
              <w:rFonts w:asciiTheme="majorHAnsi" w:eastAsiaTheme="majorEastAsia" w:hAnsiTheme="majorHAnsi" w:cstheme="majorBidi"/>
              <w:b/>
              <w:bCs/>
            </w:rPr>
          </w:pPr>
        </w:p>
      </w:tc>
      <w:tc>
        <w:tcPr>
          <w:tcW w:w="500" w:type="pct"/>
          <w:vMerge/>
        </w:tcPr>
        <w:p w:rsidR="00BE0F3C" w:rsidRDefault="00BE0F3C">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BE0F3C" w:rsidRDefault="00BE0F3C">
          <w:pPr>
            <w:pStyle w:val="Header"/>
            <w:rPr>
              <w:rFonts w:asciiTheme="majorHAnsi" w:eastAsiaTheme="majorEastAsia" w:hAnsiTheme="majorHAnsi" w:cstheme="majorBidi"/>
              <w:b/>
              <w:bCs/>
            </w:rPr>
          </w:pPr>
        </w:p>
      </w:tc>
    </w:tr>
  </w:tbl>
  <w:p w:rsidR="00BE0F3C" w:rsidRDefault="00BE0F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692" w:rsidRDefault="00FA2692" w:rsidP="00BE0F3C">
      <w:pPr>
        <w:spacing w:after="0" w:line="240" w:lineRule="auto"/>
      </w:pPr>
      <w:r>
        <w:separator/>
      </w:r>
    </w:p>
  </w:footnote>
  <w:footnote w:type="continuationSeparator" w:id="0">
    <w:p w:rsidR="00FA2692" w:rsidRDefault="00FA2692" w:rsidP="00BE0F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138" w:rsidRDefault="00801138">
    <w:pPr>
      <w:pStyle w:val="Header"/>
      <w:jc w:val="right"/>
      <w:rPr>
        <w:color w:val="4F81BD" w:themeColor="accent1"/>
      </w:rPr>
    </w:pPr>
    <w:r>
      <w:rPr>
        <w:noProof/>
        <w:color w:val="4F81BD" w:themeColor="accent1"/>
      </w:rPr>
      <mc:AlternateContent>
        <mc:Choice Requires="wps">
          <w:drawing>
            <wp:anchor distT="0" distB="0" distL="114300" distR="114300" simplePos="0" relativeHeight="251659264" behindDoc="0" locked="0" layoutInCell="1" allowOverlap="1" wp14:anchorId="2771ECC8" wp14:editId="5895813B">
              <wp:simplePos x="0" y="0"/>
              <wp:positionH relativeFrom="margin">
                <wp:align>center</wp:align>
              </wp:positionH>
              <wp:positionV relativeFrom="page">
                <wp:align>top</wp:align>
              </wp:positionV>
              <wp:extent cx="5943600" cy="777240"/>
              <wp:effectExtent l="0" t="0" r="0" b="0"/>
              <wp:wrapNone/>
              <wp:docPr id="59" name="Rectangle 4"/>
              <wp:cNvGraphicFramePr/>
              <a:graphic xmlns:a="http://schemas.openxmlformats.org/drawingml/2006/main">
                <a:graphicData uri="http://schemas.microsoft.com/office/word/2010/wordprocessingShape">
                  <wps:wsp>
                    <wps:cNvSpPr/>
                    <wps:spPr>
                      <a:xfrm>
                        <a:off x="0" y="0"/>
                        <a:ext cx="5943600" cy="7772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01138" w:rsidRPr="00801138" w:rsidRDefault="00801138" w:rsidP="00801138">
                          <w:pPr>
                            <w:jc w:val="center"/>
                            <w:rPr>
                              <w:rFonts w:asciiTheme="majorHAnsi" w:hAnsiTheme="majorHAnsi"/>
                              <w:b/>
                              <w:sz w:val="28"/>
                            </w:rPr>
                          </w:pPr>
                          <w:r w:rsidRPr="00801138">
                            <w:rPr>
                              <w:rFonts w:asciiTheme="majorHAnsi" w:hAnsiTheme="majorHAnsi"/>
                              <w:b/>
                              <w:sz w:val="28"/>
                            </w:rPr>
                            <w:t>CARC Research in Soc</w:t>
                          </w:r>
                          <w:r w:rsidR="006B21AD">
                            <w:rPr>
                              <w:rFonts w:asciiTheme="majorHAnsi" w:hAnsiTheme="majorHAnsi"/>
                              <w:b/>
                              <w:sz w:val="28"/>
                            </w:rPr>
                            <w:t>ial Sciences 4(1) (2025</w:t>
                          </w:r>
                          <w:r w:rsidR="00F7669A">
                            <w:rPr>
                              <w:rFonts w:asciiTheme="majorHAnsi" w:hAnsiTheme="majorHAnsi"/>
                              <w:b/>
                              <w:sz w:val="28"/>
                            </w:rPr>
                            <w:t>) 28-40</w:t>
                          </w:r>
                        </w:p>
                      </w:txbxContent>
                    </wps:txbx>
                    <wps:bodyPr rtlCol="0" anchor="ctr"/>
                  </wps:wsp>
                </a:graphicData>
              </a:graphic>
              <wp14:sizeRelH relativeFrom="margin">
                <wp14:pctWidth>100000</wp14:pctWidth>
              </wp14:sizeRelH>
              <wp14:sizeRelV relativeFrom="topMargin">
                <wp14:pctHeight>85000</wp14:pctHeight>
              </wp14:sizeRelV>
            </wp:anchor>
          </w:drawing>
        </mc:Choice>
        <mc:Fallback>
          <w:pict>
            <v:rect id="Rectangle 4" o:spid="_x0000_s1028" style="position:absolute;left:0;text-align:left;margin-left:0;margin-top:0;width:468pt;height:61.2pt;z-index:251659264;visibility:visible;mso-wrap-style:square;mso-width-percent:1000;mso-height-percent:850;mso-wrap-distance-left:9pt;mso-wrap-distance-top:0;mso-wrap-distance-right:9pt;mso-wrap-distance-bottom:0;mso-position-horizontal:center;mso-position-horizontal-relative:margin;mso-position-vertical:top;mso-position-vertical-relative:page;mso-width-percent:1000;mso-height-percent:85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" fillcolor="#4f81bd [3204]" stroked="f" strokeweight="2pt">
              <v:textbox>
                <w:txbxContent>
                  <w:p w:rsidR="00801138" w:rsidRPr="00801138" w:rsidRDefault="00801138" w:rsidP="00801138">
                    <w:pPr>
                      <w:jc w:val="center"/>
                      <w:rPr>
                        <w:rFonts w:asciiTheme="majorHAnsi" w:hAnsiTheme="majorHAnsi"/>
                        <w:b/>
                        <w:sz w:val="28"/>
                      </w:rPr>
                    </w:pPr>
                    <w:r w:rsidRPr="00801138">
                      <w:rPr>
                        <w:rFonts w:asciiTheme="majorHAnsi" w:hAnsiTheme="majorHAnsi"/>
                        <w:b/>
                        <w:sz w:val="28"/>
                      </w:rPr>
                      <w:t>CARC Research in Soc</w:t>
                    </w:r>
                    <w:r w:rsidR="006B21AD">
                      <w:rPr>
                        <w:rFonts w:asciiTheme="majorHAnsi" w:hAnsiTheme="majorHAnsi"/>
                        <w:b/>
                        <w:sz w:val="28"/>
                      </w:rPr>
                      <w:t>ial Sciences 4(1) (2025</w:t>
                    </w:r>
                    <w:r w:rsidR="00F7669A">
                      <w:rPr>
                        <w:rFonts w:asciiTheme="majorHAnsi" w:hAnsiTheme="majorHAnsi"/>
                        <w:b/>
                        <w:sz w:val="28"/>
                      </w:rPr>
                      <w:t>) 28-40</w:t>
                    </w:r>
                  </w:p>
                </w:txbxContent>
              </v:textbox>
              <w10:wrap anchorx="margin" anchory="page"/>
            </v:rect>
          </w:pict>
        </mc:Fallback>
      </mc:AlternateContent>
    </w:r>
  </w:p>
  <w:p w:rsidR="00BE0F3C" w:rsidRPr="00BE0F3C" w:rsidRDefault="00BE0F3C">
    <w:pPr>
      <w:pStyle w:val="Header"/>
      <w:rPr>
        <w:rFonts w:asciiTheme="majorHAnsi" w:hAnsiTheme="majorHAnsi"/>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32E95"/>
    <w:multiLevelType w:val="multilevel"/>
    <w:tmpl w:val="503C67E8"/>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F0D185B"/>
    <w:multiLevelType w:val="hybridMultilevel"/>
    <w:tmpl w:val="BF5835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206"/>
    <w:rsid w:val="001D45B8"/>
    <w:rsid w:val="00304206"/>
    <w:rsid w:val="003E5C35"/>
    <w:rsid w:val="004077E7"/>
    <w:rsid w:val="004F65C6"/>
    <w:rsid w:val="005C22CC"/>
    <w:rsid w:val="006B21AD"/>
    <w:rsid w:val="00801138"/>
    <w:rsid w:val="00A33522"/>
    <w:rsid w:val="00BE0F3C"/>
    <w:rsid w:val="00C31504"/>
    <w:rsid w:val="00DB0BCD"/>
    <w:rsid w:val="00E44DF5"/>
    <w:rsid w:val="00F7669A"/>
    <w:rsid w:val="00FA2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04206"/>
    <w:pPr>
      <w:widowControl w:val="0"/>
      <w:autoSpaceDE w:val="0"/>
      <w:autoSpaceDN w:val="0"/>
      <w:spacing w:after="0" w:line="240" w:lineRule="auto"/>
    </w:pPr>
    <w:rPr>
      <w:rFonts w:ascii="Cambria" w:eastAsia="Cambria" w:hAnsi="Cambria" w:cs="Cambria"/>
      <w:sz w:val="18"/>
      <w:szCs w:val="18"/>
    </w:rPr>
  </w:style>
  <w:style w:type="character" w:customStyle="1" w:styleId="BodyTextChar">
    <w:name w:val="Body Text Char"/>
    <w:basedOn w:val="DefaultParagraphFont"/>
    <w:link w:val="BodyText"/>
    <w:uiPriority w:val="1"/>
    <w:rsid w:val="00304206"/>
    <w:rPr>
      <w:rFonts w:ascii="Cambria" w:eastAsia="Cambria" w:hAnsi="Cambria" w:cs="Cambria"/>
      <w:sz w:val="18"/>
      <w:szCs w:val="18"/>
    </w:rPr>
  </w:style>
  <w:style w:type="table" w:styleId="TableGrid">
    <w:name w:val="Table Grid"/>
    <w:basedOn w:val="TableNormal"/>
    <w:uiPriority w:val="39"/>
    <w:rsid w:val="00BE0F3C"/>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E0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F3C"/>
  </w:style>
  <w:style w:type="paragraph" w:styleId="Footer">
    <w:name w:val="footer"/>
    <w:basedOn w:val="Normal"/>
    <w:link w:val="FooterChar"/>
    <w:uiPriority w:val="99"/>
    <w:unhideWhenUsed/>
    <w:rsid w:val="00BE0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F3C"/>
  </w:style>
  <w:style w:type="paragraph" w:styleId="NoSpacing">
    <w:name w:val="No Spacing"/>
    <w:link w:val="NoSpacingChar"/>
    <w:uiPriority w:val="1"/>
    <w:qFormat/>
    <w:rsid w:val="00BE0F3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E0F3C"/>
    <w:rPr>
      <w:rFonts w:eastAsiaTheme="minorEastAsia"/>
      <w:lang w:eastAsia="ja-JP"/>
    </w:rPr>
  </w:style>
  <w:style w:type="paragraph" w:styleId="BalloonText">
    <w:name w:val="Balloon Text"/>
    <w:basedOn w:val="Normal"/>
    <w:link w:val="BalloonTextChar"/>
    <w:uiPriority w:val="99"/>
    <w:semiHidden/>
    <w:unhideWhenUsed/>
    <w:rsid w:val="00BE0F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F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04206"/>
    <w:pPr>
      <w:widowControl w:val="0"/>
      <w:autoSpaceDE w:val="0"/>
      <w:autoSpaceDN w:val="0"/>
      <w:spacing w:after="0" w:line="240" w:lineRule="auto"/>
    </w:pPr>
    <w:rPr>
      <w:rFonts w:ascii="Cambria" w:eastAsia="Cambria" w:hAnsi="Cambria" w:cs="Cambria"/>
      <w:sz w:val="18"/>
      <w:szCs w:val="18"/>
    </w:rPr>
  </w:style>
  <w:style w:type="character" w:customStyle="1" w:styleId="BodyTextChar">
    <w:name w:val="Body Text Char"/>
    <w:basedOn w:val="DefaultParagraphFont"/>
    <w:link w:val="BodyText"/>
    <w:uiPriority w:val="1"/>
    <w:rsid w:val="00304206"/>
    <w:rPr>
      <w:rFonts w:ascii="Cambria" w:eastAsia="Cambria" w:hAnsi="Cambria" w:cs="Cambria"/>
      <w:sz w:val="18"/>
      <w:szCs w:val="18"/>
    </w:rPr>
  </w:style>
  <w:style w:type="table" w:styleId="TableGrid">
    <w:name w:val="Table Grid"/>
    <w:basedOn w:val="TableNormal"/>
    <w:uiPriority w:val="39"/>
    <w:rsid w:val="00BE0F3C"/>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E0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F3C"/>
  </w:style>
  <w:style w:type="paragraph" w:styleId="Footer">
    <w:name w:val="footer"/>
    <w:basedOn w:val="Normal"/>
    <w:link w:val="FooterChar"/>
    <w:uiPriority w:val="99"/>
    <w:unhideWhenUsed/>
    <w:rsid w:val="00BE0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F3C"/>
  </w:style>
  <w:style w:type="paragraph" w:styleId="NoSpacing">
    <w:name w:val="No Spacing"/>
    <w:link w:val="NoSpacingChar"/>
    <w:uiPriority w:val="1"/>
    <w:qFormat/>
    <w:rsid w:val="00BE0F3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E0F3C"/>
    <w:rPr>
      <w:rFonts w:eastAsiaTheme="minorEastAsia"/>
      <w:lang w:eastAsia="ja-JP"/>
    </w:rPr>
  </w:style>
  <w:style w:type="paragraph" w:styleId="BalloonText">
    <w:name w:val="Balloon Text"/>
    <w:basedOn w:val="Normal"/>
    <w:link w:val="BalloonTextChar"/>
    <w:uiPriority w:val="99"/>
    <w:semiHidden/>
    <w:unhideWhenUsed/>
    <w:rsid w:val="00BE0F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F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urnals.carc.com.pk/index.php/CRIS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journals.carc.com.pk/index.php/CRISS/issue/view/1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s://journals.carc.com.pk/index.php/CRISS" TargetMode="External"/><Relationship Id="rId10" Type="http://schemas.openxmlformats.org/officeDocument/2006/relationships/image" Target="media/image1.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journals.carc.com.pk/index.php/CRISS/index" TargetMode="External"/><Relationship Id="rId14" Type="http://schemas.openxmlformats.org/officeDocument/2006/relationships/hyperlink" Target="https://journals.carc.com.pk/index.php/CRISS/issue/view/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5677</Words>
  <Characters>32365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nlp</dc:creator>
  <cp:lastModifiedBy>nlp</cp:lastModifiedBy>
  <cp:revision>3</cp:revision>
  <dcterms:created xsi:type="dcterms:W3CDTF">2025-12-20T17:27:00Z</dcterms:created>
  <dcterms:modified xsi:type="dcterms:W3CDTF">2025-12-20T17:56:00Z</dcterms:modified>
</cp:coreProperties>
</file>