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206" w:rsidRDefault="00304206" w:rsidP="007570FF">
      <w:pPr>
        <w:pStyle w:val="BodyText"/>
        <w:ind w:right="424"/>
        <w:rPr>
          <w:color w:val="231F20"/>
          <w:w w:val="130"/>
        </w:rPr>
      </w:pPr>
      <w:r>
        <w:rPr>
          <w:noProof/>
        </w:rPr>
        <mc:AlternateContent>
          <mc:Choice Requires="wps">
            <w:drawing>
              <wp:anchor distT="0" distB="0" distL="114300" distR="114300" simplePos="0" relativeHeight="251664384" behindDoc="0" locked="0" layoutInCell="1" allowOverlap="1" wp14:anchorId="463702D4" wp14:editId="47744992">
                <wp:simplePos x="0" y="0"/>
                <wp:positionH relativeFrom="column">
                  <wp:posOffset>5672454</wp:posOffset>
                </wp:positionH>
                <wp:positionV relativeFrom="paragraph">
                  <wp:posOffset>47625</wp:posOffset>
                </wp:positionV>
                <wp:extent cx="1299845" cy="257175"/>
                <wp:effectExtent l="0" t="0" r="14605" b="28575"/>
                <wp:wrapNone/>
                <wp:docPr id="24" name="Text Box 24"/>
                <wp:cNvGraphicFramePr/>
                <a:graphic xmlns:a="http://schemas.openxmlformats.org/drawingml/2006/main">
                  <a:graphicData uri="http://schemas.microsoft.com/office/word/2010/wordprocessingShape">
                    <wps:wsp>
                      <wps:cNvSpPr txBox="1"/>
                      <wps:spPr>
                        <a:xfrm>
                          <a:off x="0" y="0"/>
                          <a:ext cx="129984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4206" w:rsidRPr="00304206" w:rsidRDefault="00304206">
                            <w:pPr>
                              <w:rPr>
                                <w:rFonts w:asciiTheme="majorHAnsi" w:hAnsiTheme="majorHAnsi"/>
                              </w:rPr>
                            </w:pPr>
                            <w:r w:rsidRPr="00304206">
                              <w:rPr>
                                <w:rFonts w:asciiTheme="majorHAnsi" w:hAnsiTheme="majorHAnsi"/>
                                <w:sz w:val="18"/>
                              </w:rPr>
                              <w:t>01-38-CRISS-579-148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446.65pt;margin-top:3.75pt;width:102.3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" fillcolor="white [3201]" strokeweight=".5pt">
                <v:textbox>
                  <w:txbxContent>
                    <w:p w:rsidR="00304206" w:rsidRPr="00304206" w:rsidRDefault="00304206">
                      <w:pPr>
                        <w:rPr>
                          <w:rFonts w:asciiTheme="majorHAnsi" w:hAnsiTheme="majorHAnsi"/>
                        </w:rPr>
                      </w:pPr>
                      <w:r w:rsidRPr="00304206">
                        <w:rPr>
                          <w:rFonts w:asciiTheme="majorHAnsi" w:hAnsiTheme="majorHAnsi"/>
                          <w:sz w:val="18"/>
                        </w:rPr>
                        <w:t>01-38-CRISS-579-148</w:t>
                      </w:r>
                    </w:p>
                  </w:txbxContent>
                </v:textbox>
              </v:shape>
            </w:pict>
          </mc:Fallback>
        </mc:AlternateContent>
      </w:r>
    </w:p>
    <w:p w:rsidR="00304206" w:rsidRDefault="00304206" w:rsidP="00304206">
      <w:pPr>
        <w:pStyle w:val="BodyText"/>
        <w:ind w:left="142" w:right="424"/>
        <w:jc w:val="center"/>
      </w:pPr>
      <w:r>
        <w:rPr>
          <w:noProof/>
        </w:rPr>
        <w:drawing>
          <wp:anchor distT="0" distB="0" distL="114300" distR="114300" simplePos="0" relativeHeight="251670528" behindDoc="0" locked="0" layoutInCell="1" allowOverlap="1" wp14:anchorId="52E6FE2C" wp14:editId="02B1BB93">
            <wp:simplePos x="0" y="0"/>
            <wp:positionH relativeFrom="column">
              <wp:posOffset>-104774</wp:posOffset>
            </wp:positionH>
            <wp:positionV relativeFrom="paragraph">
              <wp:posOffset>189865</wp:posOffset>
            </wp:positionV>
            <wp:extent cx="1181100" cy="1038225"/>
            <wp:effectExtent l="0" t="0" r="0" b="9525"/>
            <wp:wrapNone/>
            <wp:docPr id="72" name="Image 72">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72" name="Image 72">
                      <a:hlinkClick r:id="rId9"/>
                    </pic:cNvPr>
                    <pic:cNvPicPr/>
                  </pic:nvPicPr>
                  <pic:blipFill>
                    <a:blip r:embed="rId10" cstate="print"/>
                    <a:stretch>
                      <a:fillRect/>
                    </a:stretch>
                  </pic:blipFill>
                  <pic:spPr>
                    <a:xfrm>
                      <a:off x="0" y="0"/>
                      <a:ext cx="1184214" cy="104096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752DD527" wp14:editId="7A5736E5">
            <wp:simplePos x="0" y="0"/>
            <wp:positionH relativeFrom="column">
              <wp:posOffset>5797550</wp:posOffset>
            </wp:positionH>
            <wp:positionV relativeFrom="paragraph">
              <wp:posOffset>185420</wp:posOffset>
            </wp:positionV>
            <wp:extent cx="1002665" cy="1143000"/>
            <wp:effectExtent l="0" t="0" r="6985" b="0"/>
            <wp:wrapNone/>
            <wp:docPr id="71" name="Image 71">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71" name="Image 71">
                      <a:hlinkClick r:id="rId9"/>
                    </pic:cNvPr>
                    <pic:cNvPicPr/>
                  </pic:nvPicPr>
                  <pic:blipFill>
                    <a:blip r:embed="rId11" cstate="print"/>
                    <a:stretch>
                      <a:fillRect/>
                    </a:stretch>
                  </pic:blipFill>
                  <pic:spPr>
                    <a:xfrm>
                      <a:off x="0" y="0"/>
                      <a:ext cx="1002665" cy="1143000"/>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0E96F461" wp14:editId="5029F877">
                <wp:simplePos x="0" y="0"/>
                <wp:positionH relativeFrom="column">
                  <wp:posOffset>111125</wp:posOffset>
                </wp:positionH>
                <wp:positionV relativeFrom="paragraph">
                  <wp:posOffset>95885</wp:posOffset>
                </wp:positionV>
                <wp:extent cx="6515100" cy="47625"/>
                <wp:effectExtent l="0" t="0" r="19050" b="0"/>
                <wp:wrapNone/>
                <wp:docPr id="50" name="Graphic 50"/>
                <wp:cNvGraphicFramePr/>
                <a:graphic xmlns:a="http://schemas.openxmlformats.org/drawingml/2006/main">
                  <a:graphicData uri="http://schemas.microsoft.com/office/word/2010/wordprocessingShape">
                    <wps:wsp>
                      <wps:cNvSpPr/>
                      <wps:spPr>
                        <a:xfrm flipV="1">
                          <a:off x="0" y="0"/>
                          <a:ext cx="6515100" cy="47625"/>
                        </a:xfrm>
                        <a:custGeom>
                          <a:avLst/>
                          <a:gdLst/>
                          <a:ahLst/>
                          <a:cxnLst/>
                          <a:rect l="l" t="t" r="r" b="b"/>
                          <a:pathLst>
                            <a:path w="5387975">
                              <a:moveTo>
                                <a:pt x="0" y="0"/>
                              </a:moveTo>
                              <a:lnTo>
                                <a:pt x="5387898" y="0"/>
                              </a:lnTo>
                            </a:path>
                          </a:pathLst>
                        </a:custGeom>
                        <a:ln w="19050"/>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50" o:spid="_x0000_s1026" style="position:absolute;margin-left:8.75pt;margin-top:7.55pt;width:513pt;height: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8797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" path="m,l5387898,e" filled="f" strokecolor="black [3040]" strokeweight="1.5pt">
                <v:path arrowok="t"/>
              </v:shape>
            </w:pict>
          </mc:Fallback>
        </mc:AlternateContent>
      </w:r>
      <w:r>
        <w:rPr>
          <w:color w:val="231F20"/>
          <w:w w:val="130"/>
        </w:rPr>
        <w:t>CARC</w:t>
      </w:r>
      <w:r>
        <w:rPr>
          <w:color w:val="231F20"/>
          <w:spacing w:val="7"/>
          <w:w w:val="130"/>
        </w:rPr>
        <w:t xml:space="preserve"> </w:t>
      </w:r>
      <w:r>
        <w:rPr>
          <w:color w:val="231F20"/>
          <w:w w:val="130"/>
        </w:rPr>
        <w:t>Research</w:t>
      </w:r>
      <w:r>
        <w:rPr>
          <w:color w:val="231F20"/>
          <w:spacing w:val="7"/>
          <w:w w:val="130"/>
        </w:rPr>
        <w:t xml:space="preserve"> </w:t>
      </w:r>
      <w:r>
        <w:rPr>
          <w:color w:val="231F20"/>
          <w:w w:val="130"/>
        </w:rPr>
        <w:t>in</w:t>
      </w:r>
      <w:r>
        <w:rPr>
          <w:color w:val="231F20"/>
          <w:spacing w:val="7"/>
          <w:w w:val="130"/>
        </w:rPr>
        <w:t xml:space="preserve"> </w:t>
      </w:r>
      <w:r>
        <w:rPr>
          <w:color w:val="231F20"/>
          <w:w w:val="130"/>
        </w:rPr>
        <w:t>Social</w:t>
      </w:r>
      <w:r>
        <w:rPr>
          <w:color w:val="231F20"/>
          <w:spacing w:val="7"/>
          <w:w w:val="130"/>
        </w:rPr>
        <w:t xml:space="preserve"> </w:t>
      </w:r>
      <w:r>
        <w:rPr>
          <w:color w:val="231F20"/>
          <w:w w:val="130"/>
        </w:rPr>
        <w:t>Sciences</w:t>
      </w:r>
      <w:r>
        <w:rPr>
          <w:color w:val="231F20"/>
          <w:spacing w:val="7"/>
          <w:w w:val="130"/>
        </w:rPr>
        <w:t xml:space="preserve"> </w:t>
      </w:r>
      <w:r w:rsidR="006B21AD">
        <w:rPr>
          <w:color w:val="231F20"/>
          <w:w w:val="130"/>
        </w:rPr>
        <w:t>4(1</w:t>
      </w:r>
      <w:r>
        <w:rPr>
          <w:color w:val="231F20"/>
          <w:w w:val="130"/>
        </w:rPr>
        <w:t>)</w:t>
      </w:r>
      <w:r>
        <w:rPr>
          <w:color w:val="231F20"/>
          <w:spacing w:val="8"/>
          <w:w w:val="130"/>
        </w:rPr>
        <w:t xml:space="preserve"> </w:t>
      </w:r>
      <w:r w:rsidR="006B21AD">
        <w:rPr>
          <w:color w:val="231F20"/>
          <w:w w:val="130"/>
        </w:rPr>
        <w:t>(2025</w:t>
      </w:r>
      <w:r>
        <w:rPr>
          <w:color w:val="231F20"/>
          <w:w w:val="130"/>
        </w:rPr>
        <w:t>)</w:t>
      </w:r>
      <w:r>
        <w:rPr>
          <w:color w:val="231F20"/>
          <w:spacing w:val="8"/>
          <w:w w:val="130"/>
        </w:rPr>
        <w:t xml:space="preserve"> </w:t>
      </w:r>
      <w:r w:rsidR="00A33522">
        <w:rPr>
          <w:color w:val="231F20"/>
          <w:w w:val="130"/>
        </w:rPr>
        <w:t>15-27</w:t>
      </w:r>
    </w:p>
    <w:p w:rsidR="005C22CC" w:rsidRDefault="00304206" w:rsidP="00304206">
      <w:pPr>
        <w:tabs>
          <w:tab w:val="right" w:pos="10800"/>
        </w:tabs>
      </w:pPr>
      <w:r>
        <w:rPr>
          <w:noProof/>
        </w:rPr>
        <mc:AlternateContent>
          <mc:Choice Requires="wps">
            <w:drawing>
              <wp:anchor distT="0" distB="0" distL="114300" distR="114300" simplePos="0" relativeHeight="251668480" behindDoc="0" locked="0" layoutInCell="1" allowOverlap="1" wp14:anchorId="3C5CBAE3" wp14:editId="4C7A6344">
                <wp:simplePos x="0" y="0"/>
                <wp:positionH relativeFrom="column">
                  <wp:posOffset>114300</wp:posOffset>
                </wp:positionH>
                <wp:positionV relativeFrom="paragraph">
                  <wp:posOffset>1141729</wp:posOffset>
                </wp:positionV>
                <wp:extent cx="6600825" cy="47625"/>
                <wp:effectExtent l="0" t="0" r="28575" b="0"/>
                <wp:wrapNone/>
                <wp:docPr id="25" name="Graphic 50"/>
                <wp:cNvGraphicFramePr/>
                <a:graphic xmlns:a="http://schemas.openxmlformats.org/drawingml/2006/main">
                  <a:graphicData uri="http://schemas.microsoft.com/office/word/2010/wordprocessingShape">
                    <wps:wsp>
                      <wps:cNvSpPr/>
                      <wps:spPr>
                        <a:xfrm flipV="1">
                          <a:off x="0" y="0"/>
                          <a:ext cx="6600825" cy="47625"/>
                        </a:xfrm>
                        <a:custGeom>
                          <a:avLst/>
                          <a:gdLst/>
                          <a:ahLst/>
                          <a:cxnLst/>
                          <a:rect l="l" t="t" r="r" b="b"/>
                          <a:pathLst>
                            <a:path w="5387975">
                              <a:moveTo>
                                <a:pt x="0" y="0"/>
                              </a:moveTo>
                              <a:lnTo>
                                <a:pt x="5387898" y="0"/>
                              </a:lnTo>
                            </a:path>
                          </a:pathLst>
                        </a:custGeom>
                        <a:ln w="19050"/>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50" o:spid="_x0000_s1026" style="position:absolute;margin-left:9pt;margin-top:89.9pt;width:519.75pt;height:3.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8797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" path="m,l5387898,e" filled="f" strokecolor="black [3040]" strokeweight="1.5pt">
                <v:path arrowok="t"/>
              </v:shape>
            </w:pict>
          </mc:Fallback>
        </mc:AlternateContent>
      </w:r>
      <w:r>
        <w:rPr>
          <w:noProof/>
          <w:sz w:val="15"/>
        </w:rPr>
        <mc:AlternateContent>
          <mc:Choice Requires="wps">
            <w:drawing>
              <wp:anchor distT="0" distB="0" distL="0" distR="0" simplePos="0" relativeHeight="251661312" behindDoc="1" locked="0" layoutInCell="1" allowOverlap="1" wp14:anchorId="02850CC0" wp14:editId="4546D5FA">
                <wp:simplePos x="0" y="0"/>
                <wp:positionH relativeFrom="page">
                  <wp:posOffset>1616710</wp:posOffset>
                </wp:positionH>
                <wp:positionV relativeFrom="paragraph">
                  <wp:posOffset>28575</wp:posOffset>
                </wp:positionV>
                <wp:extent cx="4510405" cy="990600"/>
                <wp:effectExtent l="0" t="0" r="4445"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0405" cy="990600"/>
                        </a:xfrm>
                        <a:prstGeom prst="rect">
                          <a:avLst/>
                        </a:prstGeom>
                        <a:solidFill>
                          <a:srgbClr val="EDEDED"/>
                        </a:solidFill>
                      </wps:spPr>
                      <wps:txbx>
                        <w:txbxContent>
                          <w:p w:rsidR="00304206" w:rsidRDefault="00304206" w:rsidP="00304206">
                            <w:pPr>
                              <w:spacing w:before="54" w:line="256" w:lineRule="auto"/>
                              <w:ind w:left="1013" w:firstLine="1543"/>
                              <w:rPr>
                                <w:color w:val="000000"/>
                                <w:sz w:val="16"/>
                              </w:rPr>
                            </w:pPr>
                            <w:r>
                              <w:rPr>
                                <w:color w:val="231F20"/>
                                <w:w w:val="120"/>
                                <w:sz w:val="16"/>
                              </w:rPr>
                              <w:t xml:space="preserve">Content list available at: </w:t>
                            </w:r>
                            <w:hyperlink r:id="rId12">
                              <w:r>
                                <w:rPr>
                                  <w:color w:val="7A8082"/>
                                  <w:spacing w:val="-2"/>
                                  <w:w w:val="115"/>
                                  <w:sz w:val="16"/>
                                </w:rPr>
                                <w:t>https://journals.carc.com.pk/index.php/CRISS/issue/view/10</w:t>
                              </w:r>
                            </w:hyperlink>
                          </w:p>
                          <w:p w:rsidR="00304206" w:rsidRDefault="00304206" w:rsidP="00304206">
                            <w:pPr>
                              <w:spacing w:before="166"/>
                              <w:ind w:left="1" w:right="65"/>
                              <w:jc w:val="center"/>
                              <w:rPr>
                                <w:color w:val="000000"/>
                                <w:sz w:val="30"/>
                              </w:rPr>
                            </w:pPr>
                            <w:r>
                              <w:rPr>
                                <w:color w:val="231F20"/>
                                <w:w w:val="120"/>
                                <w:sz w:val="30"/>
                              </w:rPr>
                              <w:t>CARC</w:t>
                            </w:r>
                            <w:r>
                              <w:rPr>
                                <w:color w:val="231F20"/>
                                <w:spacing w:val="3"/>
                                <w:w w:val="120"/>
                                <w:sz w:val="30"/>
                              </w:rPr>
                              <w:t xml:space="preserve"> </w:t>
                            </w:r>
                            <w:r>
                              <w:rPr>
                                <w:color w:val="231F20"/>
                                <w:w w:val="120"/>
                                <w:sz w:val="30"/>
                              </w:rPr>
                              <w:t>Research</w:t>
                            </w:r>
                            <w:r>
                              <w:rPr>
                                <w:color w:val="231F20"/>
                                <w:spacing w:val="4"/>
                                <w:w w:val="120"/>
                                <w:sz w:val="30"/>
                              </w:rPr>
                              <w:t xml:space="preserve"> </w:t>
                            </w:r>
                            <w:r>
                              <w:rPr>
                                <w:color w:val="231F20"/>
                                <w:w w:val="120"/>
                                <w:sz w:val="30"/>
                              </w:rPr>
                              <w:t>in</w:t>
                            </w:r>
                            <w:r>
                              <w:rPr>
                                <w:color w:val="231F20"/>
                                <w:spacing w:val="4"/>
                                <w:w w:val="120"/>
                                <w:sz w:val="30"/>
                              </w:rPr>
                              <w:t xml:space="preserve"> </w:t>
                            </w:r>
                            <w:r>
                              <w:rPr>
                                <w:color w:val="231F20"/>
                                <w:w w:val="120"/>
                                <w:sz w:val="30"/>
                              </w:rPr>
                              <w:t>Social</w:t>
                            </w:r>
                            <w:r>
                              <w:rPr>
                                <w:color w:val="231F20"/>
                                <w:spacing w:val="3"/>
                                <w:w w:val="120"/>
                                <w:sz w:val="30"/>
                              </w:rPr>
                              <w:t xml:space="preserve"> </w:t>
                            </w:r>
                            <w:r>
                              <w:rPr>
                                <w:color w:val="231F20"/>
                                <w:spacing w:val="-2"/>
                                <w:w w:val="120"/>
                                <w:sz w:val="30"/>
                              </w:rPr>
                              <w:t>Sciences</w:t>
                            </w:r>
                          </w:p>
                          <w:p w:rsidR="00304206" w:rsidRDefault="00304206" w:rsidP="00304206">
                            <w:pPr>
                              <w:spacing w:before="141"/>
                              <w:ind w:right="65"/>
                              <w:jc w:val="center"/>
                              <w:rPr>
                                <w:color w:val="000000"/>
                                <w:sz w:val="16"/>
                              </w:rPr>
                            </w:pPr>
                            <w:r>
                              <w:rPr>
                                <w:color w:val="231F20"/>
                                <w:w w:val="130"/>
                                <w:sz w:val="16"/>
                              </w:rPr>
                              <w:t>Journal</w:t>
                            </w:r>
                            <w:r>
                              <w:rPr>
                                <w:color w:val="231F20"/>
                                <w:spacing w:val="-3"/>
                                <w:w w:val="130"/>
                                <w:sz w:val="16"/>
                              </w:rPr>
                              <w:t xml:space="preserve"> </w:t>
                            </w:r>
                            <w:proofErr w:type="gramStart"/>
                            <w:r>
                              <w:rPr>
                                <w:color w:val="231F20"/>
                                <w:w w:val="130"/>
                                <w:sz w:val="16"/>
                              </w:rPr>
                              <w:t>homepage</w:t>
                            </w:r>
                            <w:r>
                              <w:rPr>
                                <w:color w:val="231F20"/>
                                <w:spacing w:val="-2"/>
                                <w:w w:val="130"/>
                                <w:sz w:val="16"/>
                              </w:rPr>
                              <w:t xml:space="preserve"> </w:t>
                            </w:r>
                            <w:r>
                              <w:rPr>
                                <w:color w:val="231F20"/>
                                <w:w w:val="130"/>
                                <w:sz w:val="16"/>
                              </w:rPr>
                              <w:t>:</w:t>
                            </w:r>
                            <w:proofErr w:type="gramEnd"/>
                            <w:r>
                              <w:rPr>
                                <w:color w:val="231F20"/>
                                <w:spacing w:val="-3"/>
                                <w:w w:val="130"/>
                                <w:sz w:val="16"/>
                              </w:rPr>
                              <w:t xml:space="preserve"> </w:t>
                            </w:r>
                            <w:hyperlink r:id="rId13">
                              <w:r>
                                <w:rPr>
                                  <w:color w:val="808080"/>
                                  <w:spacing w:val="-2"/>
                                  <w:w w:val="130"/>
                                  <w:sz w:val="16"/>
                                </w:rPr>
                                <w:t>journals.carc.com.pk</w:t>
                              </w:r>
                            </w:hyperlink>
                          </w:p>
                        </w:txbxContent>
                      </wps:txbx>
                      <wps:bodyPr wrap="square" lIns="0" tIns="0" rIns="0" bIns="0" rtlCol="0">
                        <a:noAutofit/>
                      </wps:bodyPr>
                    </wps:wsp>
                  </a:graphicData>
                </a:graphic>
                <wp14:sizeRelV relativeFrom="margin">
                  <wp14:pctHeight>0</wp14:pctHeight>
                </wp14:sizeRelV>
              </wp:anchor>
            </w:drawing>
          </mc:Choice>
          <mc:Fallback>
            <w:pict>
              <v:shape id="Textbox 2" o:spid="_x0000_s1027" type="#_x0000_t202" style="position:absolute;margin-left:127.3pt;margin-top:2.25pt;width:355.15pt;height:78pt;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" fillcolor="#ededed" stroked="f">
                <v:path arrowok="t"/>
                <v:textbox inset="0,0,0,0">
                  <w:txbxContent>
                    <w:p w:rsidR="00304206" w:rsidRDefault="00304206" w:rsidP="00304206">
                      <w:pPr>
                        <w:spacing w:before="54" w:line="256" w:lineRule="auto"/>
                        <w:ind w:left="1013" w:firstLine="1543"/>
                        <w:rPr>
                          <w:color w:val="000000"/>
                          <w:sz w:val="16"/>
                        </w:rPr>
                      </w:pPr>
                      <w:r>
                        <w:rPr>
                          <w:color w:val="231F20"/>
                          <w:w w:val="120"/>
                          <w:sz w:val="16"/>
                        </w:rPr>
                        <w:t xml:space="preserve">Content list available at: </w:t>
                      </w:r>
                      <w:hyperlink r:id="rId14">
                        <w:r>
                          <w:rPr>
                            <w:color w:val="7A8082"/>
                            <w:spacing w:val="-2"/>
                            <w:w w:val="115"/>
                            <w:sz w:val="16"/>
                          </w:rPr>
                          <w:t>https://journals.carc.com.pk/index.php/CRISS/issue/view/10</w:t>
                        </w:r>
                      </w:hyperlink>
                    </w:p>
                    <w:p w:rsidR="00304206" w:rsidRDefault="00304206" w:rsidP="00304206">
                      <w:pPr>
                        <w:spacing w:before="166"/>
                        <w:ind w:left="1" w:right="65"/>
                        <w:jc w:val="center"/>
                        <w:rPr>
                          <w:color w:val="000000"/>
                          <w:sz w:val="30"/>
                        </w:rPr>
                      </w:pPr>
                      <w:r>
                        <w:rPr>
                          <w:color w:val="231F20"/>
                          <w:w w:val="120"/>
                          <w:sz w:val="30"/>
                        </w:rPr>
                        <w:t>CARC</w:t>
                      </w:r>
                      <w:r>
                        <w:rPr>
                          <w:color w:val="231F20"/>
                          <w:spacing w:val="3"/>
                          <w:w w:val="120"/>
                          <w:sz w:val="30"/>
                        </w:rPr>
                        <w:t xml:space="preserve"> </w:t>
                      </w:r>
                      <w:r>
                        <w:rPr>
                          <w:color w:val="231F20"/>
                          <w:w w:val="120"/>
                          <w:sz w:val="30"/>
                        </w:rPr>
                        <w:t>Research</w:t>
                      </w:r>
                      <w:r>
                        <w:rPr>
                          <w:color w:val="231F20"/>
                          <w:spacing w:val="4"/>
                          <w:w w:val="120"/>
                          <w:sz w:val="30"/>
                        </w:rPr>
                        <w:t xml:space="preserve"> </w:t>
                      </w:r>
                      <w:r>
                        <w:rPr>
                          <w:color w:val="231F20"/>
                          <w:w w:val="120"/>
                          <w:sz w:val="30"/>
                        </w:rPr>
                        <w:t>in</w:t>
                      </w:r>
                      <w:r>
                        <w:rPr>
                          <w:color w:val="231F20"/>
                          <w:spacing w:val="4"/>
                          <w:w w:val="120"/>
                          <w:sz w:val="30"/>
                        </w:rPr>
                        <w:t xml:space="preserve"> </w:t>
                      </w:r>
                      <w:r>
                        <w:rPr>
                          <w:color w:val="231F20"/>
                          <w:w w:val="120"/>
                          <w:sz w:val="30"/>
                        </w:rPr>
                        <w:t>Social</w:t>
                      </w:r>
                      <w:r>
                        <w:rPr>
                          <w:color w:val="231F20"/>
                          <w:spacing w:val="3"/>
                          <w:w w:val="120"/>
                          <w:sz w:val="30"/>
                        </w:rPr>
                        <w:t xml:space="preserve"> </w:t>
                      </w:r>
                      <w:r>
                        <w:rPr>
                          <w:color w:val="231F20"/>
                          <w:spacing w:val="-2"/>
                          <w:w w:val="120"/>
                          <w:sz w:val="30"/>
                        </w:rPr>
                        <w:t>Sciences</w:t>
                      </w:r>
                    </w:p>
                    <w:p w:rsidR="00304206" w:rsidRDefault="00304206" w:rsidP="00304206">
                      <w:pPr>
                        <w:spacing w:before="141"/>
                        <w:ind w:right="65"/>
                        <w:jc w:val="center"/>
                        <w:rPr>
                          <w:color w:val="000000"/>
                          <w:sz w:val="16"/>
                        </w:rPr>
                      </w:pPr>
                      <w:r>
                        <w:rPr>
                          <w:color w:val="231F20"/>
                          <w:w w:val="130"/>
                          <w:sz w:val="16"/>
                        </w:rPr>
                        <w:t>Journal</w:t>
                      </w:r>
                      <w:r>
                        <w:rPr>
                          <w:color w:val="231F20"/>
                          <w:spacing w:val="-3"/>
                          <w:w w:val="130"/>
                          <w:sz w:val="16"/>
                        </w:rPr>
                        <w:t xml:space="preserve"> </w:t>
                      </w:r>
                      <w:proofErr w:type="gramStart"/>
                      <w:r>
                        <w:rPr>
                          <w:color w:val="231F20"/>
                          <w:w w:val="130"/>
                          <w:sz w:val="16"/>
                        </w:rPr>
                        <w:t>homepage</w:t>
                      </w:r>
                      <w:r>
                        <w:rPr>
                          <w:color w:val="231F20"/>
                          <w:spacing w:val="-2"/>
                          <w:w w:val="130"/>
                          <w:sz w:val="16"/>
                        </w:rPr>
                        <w:t xml:space="preserve"> </w:t>
                      </w:r>
                      <w:r>
                        <w:rPr>
                          <w:color w:val="231F20"/>
                          <w:w w:val="130"/>
                          <w:sz w:val="16"/>
                        </w:rPr>
                        <w:t>:</w:t>
                      </w:r>
                      <w:proofErr w:type="gramEnd"/>
                      <w:r>
                        <w:rPr>
                          <w:color w:val="231F20"/>
                          <w:spacing w:val="-3"/>
                          <w:w w:val="130"/>
                          <w:sz w:val="16"/>
                        </w:rPr>
                        <w:t xml:space="preserve"> </w:t>
                      </w:r>
                      <w:hyperlink r:id="rId15">
                        <w:r>
                          <w:rPr>
                            <w:color w:val="808080"/>
                            <w:spacing w:val="-2"/>
                            <w:w w:val="130"/>
                            <w:sz w:val="16"/>
                          </w:rPr>
                          <w:t>journals.carc.com.pk</w:t>
                        </w:r>
                      </w:hyperlink>
                    </w:p>
                  </w:txbxContent>
                </v:textbox>
                <w10:wrap type="topAndBottom" anchorx="page"/>
              </v:shape>
            </w:pict>
          </mc:Fallback>
        </mc:AlternateContent>
      </w:r>
      <w:r>
        <w:tab/>
      </w:r>
    </w:p>
    <w:p w:rsidR="004F65C6" w:rsidRPr="004F65C6" w:rsidRDefault="004F65C6" w:rsidP="004F65C6">
      <w:pPr>
        <w:spacing w:before="19" w:line="259" w:lineRule="auto"/>
        <w:ind w:left="28" w:right="35"/>
        <w:rPr>
          <w:b/>
          <w:bCs/>
          <w:sz w:val="28"/>
        </w:rPr>
      </w:pPr>
      <w:r w:rsidRPr="004F65C6">
        <w:rPr>
          <w:b/>
          <w:bCs/>
          <w:sz w:val="28"/>
        </w:rPr>
        <w:t>CRYPTOCURRENCY AS FINANCIAL SOVEREIGNTY: ADOPTION PATTERNS IN ECONOMIES UNDER SANCTIONS</w:t>
      </w:r>
    </w:p>
    <w:p w:rsidR="00A33522" w:rsidRPr="00A33522" w:rsidRDefault="00A33522" w:rsidP="00A33522">
      <w:pPr>
        <w:spacing w:before="19" w:line="360" w:lineRule="auto"/>
        <w:ind w:left="28" w:right="35"/>
        <w:rPr>
          <w:rFonts w:asciiTheme="majorHAnsi" w:hAnsiTheme="majorHAnsi"/>
          <w:bCs/>
        </w:rPr>
      </w:pPr>
      <w:proofErr w:type="spellStart"/>
      <w:r w:rsidRPr="00A33522">
        <w:rPr>
          <w:rFonts w:asciiTheme="majorHAnsi" w:hAnsiTheme="majorHAnsi"/>
        </w:rPr>
        <w:t>Sadia</w:t>
      </w:r>
      <w:proofErr w:type="spellEnd"/>
      <w:r w:rsidRPr="00A33522">
        <w:rPr>
          <w:rFonts w:asciiTheme="majorHAnsi" w:hAnsiTheme="majorHAnsi"/>
        </w:rPr>
        <w:t xml:space="preserve"> </w:t>
      </w:r>
      <w:proofErr w:type="spellStart"/>
      <w:r w:rsidRPr="00A33522">
        <w:rPr>
          <w:rFonts w:asciiTheme="majorHAnsi" w:hAnsiTheme="majorHAnsi"/>
        </w:rPr>
        <w:t>Jamil</w:t>
      </w:r>
      <w:proofErr w:type="spellEnd"/>
      <w:r w:rsidRPr="00A33522">
        <w:rPr>
          <w:rFonts w:asciiTheme="majorHAnsi" w:hAnsiTheme="majorHAnsi"/>
        </w:rPr>
        <w:t>*</w:t>
      </w:r>
      <w:r w:rsidRPr="00A33522">
        <w:rPr>
          <w:rFonts w:asciiTheme="majorHAnsi" w:hAnsiTheme="majorHAnsi"/>
        </w:rPr>
        <w:t>,</w:t>
      </w:r>
      <w:r w:rsidRPr="00A33522">
        <w:rPr>
          <w:rFonts w:asciiTheme="majorHAnsi" w:hAnsiTheme="majorHAnsi"/>
          <w:spacing w:val="-6"/>
        </w:rPr>
        <w:t xml:space="preserve"> </w:t>
      </w:r>
      <w:proofErr w:type="spellStart"/>
      <w:r w:rsidRPr="00A33522">
        <w:rPr>
          <w:rFonts w:asciiTheme="majorHAnsi" w:hAnsiTheme="majorHAnsi"/>
        </w:rPr>
        <w:t>Kausar</w:t>
      </w:r>
      <w:proofErr w:type="spellEnd"/>
      <w:r w:rsidRPr="00A33522">
        <w:rPr>
          <w:rFonts w:asciiTheme="majorHAnsi" w:hAnsiTheme="majorHAnsi"/>
        </w:rPr>
        <w:t xml:space="preserve"> </w:t>
      </w:r>
      <w:proofErr w:type="spellStart"/>
      <w:r w:rsidRPr="00A33522">
        <w:rPr>
          <w:rFonts w:asciiTheme="majorHAnsi" w:hAnsiTheme="majorHAnsi"/>
        </w:rPr>
        <w:t>Raza</w:t>
      </w:r>
      <w:proofErr w:type="spellEnd"/>
      <w:r w:rsidRPr="00A33522">
        <w:rPr>
          <w:rFonts w:asciiTheme="majorHAnsi" w:hAnsiTheme="majorHAnsi"/>
          <w:spacing w:val="-6"/>
        </w:rPr>
        <w:t xml:space="preserve"> </w:t>
      </w:r>
    </w:p>
    <w:p w:rsidR="00304206" w:rsidRPr="00A33522" w:rsidRDefault="00A33522" w:rsidP="00A33522">
      <w:pPr>
        <w:pBdr>
          <w:bottom w:val="single" w:sz="12" w:space="1" w:color="auto"/>
        </w:pBdr>
        <w:spacing w:line="360" w:lineRule="auto"/>
        <w:jc w:val="both"/>
        <w:rPr>
          <w:rFonts w:asciiTheme="majorHAnsi" w:hAnsiTheme="majorHAnsi" w:cs="Times New Roman"/>
          <w:bCs/>
        </w:rPr>
      </w:pPr>
      <w:proofErr w:type="spellStart"/>
      <w:r w:rsidRPr="00A33522">
        <w:rPr>
          <w:rFonts w:asciiTheme="majorHAnsi" w:hAnsiTheme="majorHAnsi"/>
        </w:rPr>
        <w:t>Khushal</w:t>
      </w:r>
      <w:proofErr w:type="spellEnd"/>
      <w:r w:rsidRPr="00A33522">
        <w:rPr>
          <w:rFonts w:asciiTheme="majorHAnsi" w:hAnsiTheme="majorHAnsi"/>
        </w:rPr>
        <w:t xml:space="preserve"> Khan </w:t>
      </w:r>
      <w:proofErr w:type="spellStart"/>
      <w:r w:rsidRPr="00A33522">
        <w:rPr>
          <w:rFonts w:asciiTheme="majorHAnsi" w:hAnsiTheme="majorHAnsi"/>
        </w:rPr>
        <w:t>Khattak</w:t>
      </w:r>
      <w:proofErr w:type="spellEnd"/>
      <w:r w:rsidRPr="00A33522">
        <w:rPr>
          <w:rFonts w:asciiTheme="majorHAnsi" w:hAnsiTheme="majorHAnsi"/>
        </w:rPr>
        <w:t xml:space="preserve"> University Karak</w:t>
      </w:r>
    </w:p>
    <w:p w:rsidR="001D45B8" w:rsidRPr="00801138" w:rsidRDefault="001D45B8" w:rsidP="004F65C6">
      <w:pPr>
        <w:shd w:val="clear" w:color="auto" w:fill="EEECE1" w:themeFill="background2"/>
        <w:tabs>
          <w:tab w:val="right" w:pos="10800"/>
        </w:tabs>
        <w:rPr>
          <w:rFonts w:asciiTheme="majorHAnsi" w:hAnsiTheme="majorHAnsi"/>
          <w:outline/>
          <w:color w:val="000000"/>
          <w14:shadow w14:blurRad="38100" w14:dist="32004" w14:dir="5400000" w14:sx="100000" w14:sy="100000" w14:kx="0" w14:ky="0" w14:algn="tl">
            <w14:srgbClr w14:val="000000">
              <w14:alpha w14:val="70000"/>
            </w14:srgbClr>
          </w14:shadow>
          <w14:textOutline w14:w="5080" w14:cap="flat" w14:cmpd="sng" w14:algn="ctr">
            <w14:solidFill>
              <w14:srgbClr w14:val="000000"/>
            </w14:solidFill>
            <w14:prstDash w14:val="solid"/>
            <w14:round/>
          </w14:textOutline>
          <w14:textFill>
            <w14:solidFill>
              <w14:srgbClr w14:val="FFFFFF"/>
            </w14:solidFill>
          </w14:textFill>
        </w:rPr>
      </w:pPr>
      <w:r w:rsidRPr="00801138">
        <w:rPr>
          <w:rFonts w:asciiTheme="majorHAnsi" w:hAnsiTheme="majorHAnsi"/>
          <w:outline/>
          <w:color w:val="000000"/>
          <w14:shadow w14:blurRad="38100" w14:dist="32004" w14:dir="5400000" w14:sx="100000" w14:sy="100000" w14:kx="0" w14:ky="0" w14:algn="tl">
            <w14:srgbClr w14:val="000000">
              <w14:alpha w14:val="70000"/>
            </w14:srgbClr>
          </w14:shadow>
          <w14:textOutline w14:w="5080" w14:cap="flat" w14:cmpd="sng" w14:algn="ctr">
            <w14:solidFill>
              <w14:srgbClr w14:val="000000"/>
            </w14:solidFill>
            <w14:prstDash w14:val="solid"/>
            <w14:round/>
          </w14:textOutline>
          <w14:textFill>
            <w14:solidFill>
              <w14:srgbClr w14:val="FFFFFF"/>
            </w14:solidFill>
          </w14:textFill>
        </w:rPr>
        <w:t>Abstract</w:t>
      </w:r>
    </w:p>
    <w:p w:rsidR="004F65C6" w:rsidRPr="004F65C6" w:rsidRDefault="004F65C6" w:rsidP="004F65C6">
      <w:pPr>
        <w:shd w:val="clear" w:color="auto" w:fill="EEECE1" w:themeFill="background2"/>
        <w:spacing w:before="20"/>
        <w:ind w:left="28" w:right="27"/>
        <w:jc w:val="both"/>
        <w:rPr>
          <w:rFonts w:asciiTheme="majorHAnsi" w:hAnsiTheme="majorHAnsi"/>
        </w:rPr>
      </w:pPr>
      <w:r w:rsidRPr="004F65C6">
        <w:rPr>
          <w:rFonts w:asciiTheme="majorHAnsi" w:hAnsiTheme="majorHAnsi"/>
        </w:rPr>
        <w:t xml:space="preserve">This paper introduces econometric data on the process of </w:t>
      </w:r>
      <w:proofErr w:type="spellStart"/>
      <w:r w:rsidRPr="004F65C6">
        <w:rPr>
          <w:rFonts w:asciiTheme="majorHAnsi" w:hAnsiTheme="majorHAnsi"/>
        </w:rPr>
        <w:t>cryptocurrency</w:t>
      </w:r>
      <w:proofErr w:type="spellEnd"/>
      <w:r w:rsidRPr="004F65C6">
        <w:rPr>
          <w:rFonts w:asciiTheme="majorHAnsi" w:hAnsiTheme="majorHAnsi"/>
        </w:rPr>
        <w:t xml:space="preserve"> adoption in 25 approved economies in 2015-2024, combining blockchain analytics data with Chain-analysis with the central bank survey data and bilateral trade statistics. We record a 340% growth rate of aggregate crypto adoption after events of tightening sanctions, and 68 percent of the volume of transactions is allocated to import-substitution trade finance, and not remittance flows. The panel fixed-effects regression analysis indicates that both one standard deviation </w:t>
      </w:r>
      <w:proofErr w:type="gramStart"/>
      <w:r w:rsidRPr="004F65C6">
        <w:rPr>
          <w:rFonts w:asciiTheme="majorHAnsi" w:hAnsiTheme="majorHAnsi"/>
        </w:rPr>
        <w:t>growth</w:t>
      </w:r>
      <w:proofErr w:type="gramEnd"/>
      <w:r w:rsidRPr="004F65C6">
        <w:rPr>
          <w:rFonts w:asciiTheme="majorHAnsi" w:hAnsiTheme="majorHAnsi"/>
        </w:rPr>
        <w:t xml:space="preserve"> in the severity index of sanctions is associated with a 2.4 percentage point growth in the crypto adoption, with the macroeconomic fundamentals held constant. The heterogeneity analysis across countries reveals that economies which have existing energy subsidies (Iran, Russia) have rates of adoption that are 3.7x higher when it comes to a mining program that is approved by the state, and fragile states (Afghanistan, Syria) see the lowest adoption rates due to the infrastructural limitations. </w:t>
      </w:r>
      <w:proofErr w:type="spellStart"/>
      <w:r w:rsidRPr="004F65C6">
        <w:rPr>
          <w:rFonts w:asciiTheme="majorHAnsi" w:hAnsiTheme="majorHAnsi"/>
        </w:rPr>
        <w:t>Cryptocurrency</w:t>
      </w:r>
      <w:proofErr w:type="spellEnd"/>
      <w:r w:rsidRPr="004F65C6">
        <w:rPr>
          <w:rFonts w:asciiTheme="majorHAnsi" w:hAnsiTheme="majorHAnsi"/>
        </w:rPr>
        <w:t xml:space="preserve"> counterfactuals show that access of </w:t>
      </w:r>
      <w:proofErr w:type="spellStart"/>
      <w:r w:rsidRPr="004F65C6">
        <w:rPr>
          <w:rFonts w:asciiTheme="majorHAnsi" w:hAnsiTheme="majorHAnsi"/>
        </w:rPr>
        <w:t>cryptocurrency</w:t>
      </w:r>
      <w:proofErr w:type="spellEnd"/>
      <w:r w:rsidRPr="004F65C6">
        <w:rPr>
          <w:rFonts w:asciiTheme="majorHAnsi" w:hAnsiTheme="majorHAnsi"/>
        </w:rPr>
        <w:t xml:space="preserve"> decreased effective remittance expenses by an average of 6.8 to 1.2 in high-adoption jurisdictions, which saved 1.3 billion dollars in recipient households. Nevertheless, the gains of inflation hedging are concentrated mostly in the urban elites with a rise in </w:t>
      </w:r>
      <w:proofErr w:type="spellStart"/>
      <w:r w:rsidRPr="004F65C6">
        <w:rPr>
          <w:rFonts w:asciiTheme="majorHAnsi" w:hAnsiTheme="majorHAnsi"/>
        </w:rPr>
        <w:t>Gini</w:t>
      </w:r>
      <w:proofErr w:type="spellEnd"/>
      <w:r w:rsidRPr="004F65C6">
        <w:rPr>
          <w:rFonts w:asciiTheme="majorHAnsi" w:hAnsiTheme="majorHAnsi"/>
        </w:rPr>
        <w:t xml:space="preserve"> coefficients of 4-6 points in both Venezuela and Iran. The responses to the questionnaires on central banks (n=30 policymakers) indicate that there was a policy dilemma: 73% consider crypto to be the way to survive financially and 87% are worried about losing monetary sovereignty. The analysis shows that the most important channels of sanctions leaks are those in which Russia received 49 billion in crypto payments in Q4 2023-Q1 2024 which is 12 percent of the pre-sanctions merchandise exports. Our solution offers a Targeted Crypto Sanctions Framework to differentiate between licit and illicit finance with the help of risk-based wallet screening, jurisdictional </w:t>
      </w:r>
      <w:proofErr w:type="spellStart"/>
      <w:r w:rsidRPr="004F65C6">
        <w:rPr>
          <w:rFonts w:asciiTheme="majorHAnsi" w:hAnsiTheme="majorHAnsi"/>
        </w:rPr>
        <w:t>stablecoin</w:t>
      </w:r>
      <w:proofErr w:type="spellEnd"/>
      <w:r w:rsidRPr="004F65C6">
        <w:rPr>
          <w:rFonts w:asciiTheme="majorHAnsi" w:hAnsiTheme="majorHAnsi"/>
        </w:rPr>
        <w:t xml:space="preserve"> regulation, and balanced mining policies. Results are used to support current arguments on the effectiveness of sanctions policy, as well as the design of Central Bank Digital Currency (CBDC) in geopolitically restricted settings.</w:t>
      </w:r>
    </w:p>
    <w:p w:rsidR="004F65C6" w:rsidRPr="004F65C6" w:rsidRDefault="00BE0F3C" w:rsidP="004F65C6">
      <w:pPr>
        <w:shd w:val="clear" w:color="auto" w:fill="EEECE1" w:themeFill="background2"/>
        <w:spacing w:before="20"/>
        <w:ind w:left="28" w:right="35"/>
        <w:rPr>
          <w:rFonts w:asciiTheme="majorHAnsi" w:hAnsiTheme="majorHAnsi"/>
        </w:rPr>
      </w:pPr>
      <w:r w:rsidRPr="004F65C6">
        <w:rPr>
          <w:rFonts w:asciiTheme="majorHAnsi" w:hAnsiTheme="majorHAnsi" w:cs="Times New Roman"/>
          <w:b/>
          <w:bCs/>
        </w:rPr>
        <w:t>Keywords:</w:t>
      </w:r>
      <w:r w:rsidRPr="004F65C6">
        <w:rPr>
          <w:rFonts w:asciiTheme="majorHAnsi" w:hAnsiTheme="majorHAnsi" w:cs="Times New Roman"/>
        </w:rPr>
        <w:t xml:space="preserve"> </w:t>
      </w:r>
      <w:proofErr w:type="spellStart"/>
      <w:r w:rsidR="004F65C6" w:rsidRPr="004F65C6">
        <w:rPr>
          <w:rFonts w:asciiTheme="majorHAnsi" w:hAnsiTheme="majorHAnsi"/>
        </w:rPr>
        <w:t>Cryptocurrency</w:t>
      </w:r>
      <w:proofErr w:type="spellEnd"/>
      <w:r w:rsidR="004F65C6" w:rsidRPr="004F65C6">
        <w:rPr>
          <w:rFonts w:asciiTheme="majorHAnsi" w:hAnsiTheme="majorHAnsi"/>
        </w:rPr>
        <w:t>, financial sovereignty, economic sanctions, blockchain adoption, emerging markets</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b/>
          <w:bCs/>
          <w:sz w:val="22"/>
          <w:szCs w:val="22"/>
        </w:rPr>
        <w:t>INTRODUCTION</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xml:space="preserve">Economic sanctions in this context work on the infrastructure of centralized financial intermediation, which takes advantage of the chokepoints of correspondent banking, SWIFT messaging, and dollar clearing to impose compliance (Fishman, 2025). By introducing blanket sanctions on Iran (2018), Venezuela (2019), and Russia </w:t>
      </w:r>
      <w:r w:rsidRPr="004F65C6">
        <w:rPr>
          <w:rFonts w:asciiTheme="majorHAnsi" w:hAnsiTheme="majorHAnsi"/>
          <w:sz w:val="22"/>
          <w:szCs w:val="22"/>
        </w:rPr>
        <w:lastRenderedPageBreak/>
        <w:t>(2022), the United States and allied jurisdictions have practically cut these economies off the global payment infrastructure, which has immediately created a need to find alternatives to censorship.</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xml:space="preserve">. The </w:t>
      </w:r>
      <w:proofErr w:type="spellStart"/>
      <w:r w:rsidRPr="004F65C6">
        <w:rPr>
          <w:rFonts w:asciiTheme="majorHAnsi" w:hAnsiTheme="majorHAnsi"/>
          <w:sz w:val="22"/>
          <w:szCs w:val="22"/>
        </w:rPr>
        <w:t>cryptocurrency</w:t>
      </w:r>
      <w:proofErr w:type="spellEnd"/>
      <w:r w:rsidRPr="004F65C6">
        <w:rPr>
          <w:rFonts w:asciiTheme="majorHAnsi" w:hAnsiTheme="majorHAnsi"/>
          <w:sz w:val="22"/>
          <w:szCs w:val="22"/>
        </w:rPr>
        <w:t xml:space="preserve"> created a solution to this artificial scarcity of cross-border remittance by its decentralized ledger technology and peer-to-peer settlement systems, which was not expected. The initial proposal by </w:t>
      </w:r>
      <w:proofErr w:type="spellStart"/>
      <w:r w:rsidRPr="004F65C6">
        <w:rPr>
          <w:rFonts w:asciiTheme="majorHAnsi" w:hAnsiTheme="majorHAnsi"/>
          <w:sz w:val="22"/>
          <w:szCs w:val="22"/>
        </w:rPr>
        <w:t>Nakamoto</w:t>
      </w:r>
      <w:proofErr w:type="spellEnd"/>
      <w:r w:rsidRPr="004F65C6">
        <w:rPr>
          <w:rFonts w:asciiTheme="majorHAnsi" w:hAnsiTheme="majorHAnsi"/>
          <w:sz w:val="22"/>
          <w:szCs w:val="22"/>
        </w:rPr>
        <w:t xml:space="preserve"> (2008) of a new electronic payment system that uses cryptographic proof rather than trust, ironically, turned into not a libertarian solution to the current financial regimes, but as a survival tool to economies subjected to systematic financial marginalization.</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xml:space="preserve">There are inherent challenges to the theoretical construct of monetary sovereignty or capacity of the state to issue currency, organize monetary policy and control capital flows in sanctioned jurisdictions. The classical sovereignty is weakened when central banks are unable to draw on the international reserves, meet the trade commitments, and protect the exchange rates. </w:t>
      </w:r>
      <w:proofErr w:type="spellStart"/>
      <w:r w:rsidRPr="004F65C6">
        <w:rPr>
          <w:rFonts w:asciiTheme="majorHAnsi" w:hAnsiTheme="majorHAnsi"/>
          <w:sz w:val="22"/>
          <w:szCs w:val="22"/>
        </w:rPr>
        <w:t>Cryptocurrency</w:t>
      </w:r>
      <w:proofErr w:type="spellEnd"/>
      <w:r w:rsidRPr="004F65C6">
        <w:rPr>
          <w:rFonts w:asciiTheme="majorHAnsi" w:hAnsiTheme="majorHAnsi"/>
          <w:sz w:val="22"/>
          <w:szCs w:val="22"/>
        </w:rPr>
        <w:t xml:space="preserve"> presents a new type of </w:t>
      </w:r>
      <w:proofErr w:type="spellStart"/>
      <w:r w:rsidRPr="004F65C6">
        <w:rPr>
          <w:rFonts w:asciiTheme="majorHAnsi" w:hAnsiTheme="majorHAnsi"/>
          <w:sz w:val="22"/>
          <w:szCs w:val="22"/>
        </w:rPr>
        <w:t>permissionless</w:t>
      </w:r>
      <w:proofErr w:type="spellEnd"/>
      <w:r w:rsidRPr="004F65C6">
        <w:rPr>
          <w:rFonts w:asciiTheme="majorHAnsi" w:hAnsiTheme="majorHAnsi"/>
          <w:sz w:val="22"/>
          <w:szCs w:val="22"/>
        </w:rPr>
        <w:t xml:space="preserve"> sovereignty, in which economic participants do not rely on state-based institutions at all, but instead build alternative monetary systems </w:t>
      </w:r>
      <w:bookmarkStart w:id="0" w:name="_GoBack"/>
      <w:bookmarkEnd w:id="0"/>
      <w:r w:rsidRPr="004F65C6">
        <w:rPr>
          <w:rFonts w:asciiTheme="majorHAnsi" w:hAnsiTheme="majorHAnsi"/>
          <w:sz w:val="22"/>
          <w:szCs w:val="22"/>
        </w:rPr>
        <w:t xml:space="preserve">in </w:t>
      </w:r>
      <w:proofErr w:type="spellStart"/>
      <w:r w:rsidRPr="004F65C6">
        <w:rPr>
          <w:rFonts w:asciiTheme="majorHAnsi" w:hAnsiTheme="majorHAnsi"/>
          <w:sz w:val="22"/>
          <w:szCs w:val="22"/>
        </w:rPr>
        <w:t>Bitcoin</w:t>
      </w:r>
      <w:proofErr w:type="spellEnd"/>
      <w:r w:rsidRPr="004F65C6">
        <w:rPr>
          <w:rFonts w:asciiTheme="majorHAnsi" w:hAnsiTheme="majorHAnsi"/>
          <w:sz w:val="22"/>
          <w:szCs w:val="22"/>
        </w:rPr>
        <w:t xml:space="preserve">, Ether and dollar </w:t>
      </w:r>
      <w:proofErr w:type="spellStart"/>
      <w:r w:rsidRPr="004F65C6">
        <w:rPr>
          <w:rFonts w:asciiTheme="majorHAnsi" w:hAnsiTheme="majorHAnsi"/>
          <w:sz w:val="22"/>
          <w:szCs w:val="22"/>
        </w:rPr>
        <w:t>stablecoins</w:t>
      </w:r>
      <w:proofErr w:type="spellEnd"/>
      <w:r w:rsidRPr="004F65C6">
        <w:rPr>
          <w:rFonts w:asciiTheme="majorHAnsi" w:hAnsiTheme="majorHAnsi"/>
          <w:sz w:val="22"/>
          <w:szCs w:val="22"/>
        </w:rPr>
        <w:t xml:space="preserve"> such as Tether (USDT).</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xml:space="preserve">. Such a dynamic signifies a transformation of the </w:t>
      </w:r>
      <w:proofErr w:type="spellStart"/>
      <w:r w:rsidRPr="004F65C6">
        <w:rPr>
          <w:rFonts w:asciiTheme="majorHAnsi" w:hAnsiTheme="majorHAnsi"/>
          <w:sz w:val="22"/>
          <w:szCs w:val="22"/>
        </w:rPr>
        <w:t>Westphalian</w:t>
      </w:r>
      <w:proofErr w:type="spellEnd"/>
      <w:r w:rsidRPr="004F65C6">
        <w:rPr>
          <w:rFonts w:asciiTheme="majorHAnsi" w:hAnsiTheme="majorHAnsi"/>
          <w:sz w:val="22"/>
          <w:szCs w:val="22"/>
        </w:rPr>
        <w:t xml:space="preserve"> paradigm of monetary control into a networked polycentric of transactions in which, as opposed to institutions, code determines the validity of the transaction.</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xml:space="preserve">Although there is strong anecdotal evidence such as the adoption of USDT at the grassroots in Venezuela, official mining taking in Russia, it is not empirically </w:t>
      </w:r>
      <w:proofErr w:type="spellStart"/>
      <w:r w:rsidRPr="004F65C6">
        <w:rPr>
          <w:rFonts w:asciiTheme="majorHAnsi" w:hAnsiTheme="majorHAnsi"/>
          <w:sz w:val="22"/>
          <w:szCs w:val="22"/>
        </w:rPr>
        <w:t>analysed</w:t>
      </w:r>
      <w:proofErr w:type="spellEnd"/>
      <w:r w:rsidRPr="004F65C6">
        <w:rPr>
          <w:rFonts w:asciiTheme="majorHAnsi" w:hAnsiTheme="majorHAnsi"/>
          <w:sz w:val="22"/>
          <w:szCs w:val="22"/>
        </w:rPr>
        <w:t xml:space="preserve"> on a macro-level. The existing literature assumes the micro-level case studies or circumvention methods and lacks systematic measurement of the drivers of adoption, welfare distribution impacts or policy tradeoffs. Three critical gaps persist:</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b/>
          <w:sz w:val="22"/>
          <w:szCs w:val="22"/>
        </w:rPr>
        <w:t>1. Causality:</w:t>
      </w:r>
      <w:r w:rsidRPr="004F65C6">
        <w:rPr>
          <w:rFonts w:asciiTheme="majorHAnsi" w:hAnsiTheme="majorHAnsi"/>
          <w:sz w:val="22"/>
          <w:szCs w:val="22"/>
        </w:rPr>
        <w:t xml:space="preserve"> Is the severity of sanctions the cause of crypto adoption or is both fuelled by institutional deterioration?</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b/>
          <w:sz w:val="22"/>
          <w:szCs w:val="22"/>
        </w:rPr>
        <w:t xml:space="preserve">2. Use Case Specification: </w:t>
      </w:r>
      <w:r w:rsidRPr="004F65C6">
        <w:rPr>
          <w:rFonts w:asciiTheme="majorHAnsi" w:hAnsiTheme="majorHAnsi"/>
          <w:sz w:val="22"/>
          <w:szCs w:val="22"/>
        </w:rPr>
        <w:t>What is the ratio between crypto activity that is it legal trade finance and capital flight and illicit finance?</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b/>
          <w:sz w:val="22"/>
          <w:szCs w:val="22"/>
        </w:rPr>
        <w:t>3. Welfare Assessment:</w:t>
      </w:r>
      <w:r w:rsidRPr="004F65C6">
        <w:rPr>
          <w:rFonts w:asciiTheme="majorHAnsi" w:hAnsiTheme="majorHAnsi"/>
          <w:sz w:val="22"/>
          <w:szCs w:val="22"/>
        </w:rPr>
        <w:t xml:space="preserve"> Do the benefits of crypto adoption spread or are concentrated among the urban elites, who have access to technology?</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xml:space="preserve">These are some policy urgent questions. Since the U.S Treasury, through the office of foreign assets control (OFAC) labels </w:t>
      </w:r>
      <w:proofErr w:type="spellStart"/>
      <w:r w:rsidRPr="004F65C6">
        <w:rPr>
          <w:rFonts w:asciiTheme="majorHAnsi" w:hAnsiTheme="majorHAnsi"/>
          <w:sz w:val="22"/>
          <w:szCs w:val="22"/>
        </w:rPr>
        <w:t>cryptocurrency</w:t>
      </w:r>
      <w:proofErr w:type="spellEnd"/>
      <w:r w:rsidRPr="004F65C6">
        <w:rPr>
          <w:rFonts w:asciiTheme="majorHAnsi" w:hAnsiTheme="majorHAnsi"/>
          <w:sz w:val="22"/>
          <w:szCs w:val="22"/>
        </w:rPr>
        <w:t xml:space="preserve"> addresses and the EU sanctions exchanges such as </w:t>
      </w:r>
      <w:proofErr w:type="spellStart"/>
      <w:r w:rsidRPr="004F65C6">
        <w:rPr>
          <w:rFonts w:asciiTheme="majorHAnsi" w:hAnsiTheme="majorHAnsi"/>
          <w:sz w:val="22"/>
          <w:szCs w:val="22"/>
        </w:rPr>
        <w:t>Garantex</w:t>
      </w:r>
      <w:proofErr w:type="spellEnd"/>
      <w:r w:rsidRPr="004F65C6">
        <w:rPr>
          <w:rFonts w:asciiTheme="majorHAnsi" w:hAnsiTheme="majorHAnsi"/>
          <w:sz w:val="22"/>
          <w:szCs w:val="22"/>
        </w:rPr>
        <w:t>, regulators need evidence-based guidelines to balance enforcement without causing humanitarian damage.</w:t>
      </w:r>
    </w:p>
    <w:p w:rsidR="004F65C6" w:rsidRPr="004F65C6" w:rsidRDefault="004F65C6" w:rsidP="004F65C6">
      <w:pPr>
        <w:pStyle w:val="BodyText"/>
        <w:spacing w:before="201"/>
        <w:jc w:val="both"/>
        <w:rPr>
          <w:rFonts w:asciiTheme="majorHAnsi" w:hAnsiTheme="majorHAnsi"/>
          <w:b/>
          <w:sz w:val="22"/>
          <w:szCs w:val="22"/>
        </w:rPr>
      </w:pPr>
      <w:r w:rsidRPr="004F65C6">
        <w:rPr>
          <w:rFonts w:asciiTheme="majorHAnsi" w:hAnsiTheme="majorHAnsi"/>
          <w:b/>
          <w:sz w:val="22"/>
          <w:szCs w:val="22"/>
        </w:rPr>
        <w:t>Research Objectives</w:t>
      </w:r>
    </w:p>
    <w:p w:rsidR="004F65C6" w:rsidRPr="004F65C6" w:rsidRDefault="004F65C6" w:rsidP="004F65C6">
      <w:pPr>
        <w:pStyle w:val="BodyText"/>
        <w:numPr>
          <w:ilvl w:val="0"/>
          <w:numId w:val="1"/>
        </w:numPr>
        <w:spacing w:before="201"/>
        <w:jc w:val="both"/>
        <w:rPr>
          <w:rFonts w:asciiTheme="majorHAnsi" w:hAnsiTheme="majorHAnsi"/>
          <w:sz w:val="22"/>
          <w:szCs w:val="22"/>
        </w:rPr>
      </w:pPr>
      <w:r w:rsidRPr="004F65C6">
        <w:rPr>
          <w:rFonts w:asciiTheme="majorHAnsi" w:hAnsiTheme="majorHAnsi"/>
          <w:sz w:val="22"/>
          <w:szCs w:val="22"/>
        </w:rPr>
        <w:t>To model crypto adoption predictors using panel data (2015-2024) for 25 economies, focusing on macroeconomics, institutional quality, and energy costs.</w:t>
      </w:r>
    </w:p>
    <w:p w:rsidR="004F65C6" w:rsidRPr="004F65C6" w:rsidRDefault="004F65C6" w:rsidP="004F65C6">
      <w:pPr>
        <w:pStyle w:val="BodyText"/>
        <w:numPr>
          <w:ilvl w:val="0"/>
          <w:numId w:val="1"/>
        </w:numPr>
        <w:spacing w:before="201"/>
        <w:jc w:val="both"/>
        <w:rPr>
          <w:rFonts w:asciiTheme="majorHAnsi" w:hAnsiTheme="majorHAnsi"/>
          <w:sz w:val="22"/>
          <w:szCs w:val="22"/>
        </w:rPr>
      </w:pPr>
      <w:r w:rsidRPr="004F65C6">
        <w:rPr>
          <w:rFonts w:asciiTheme="majorHAnsi" w:hAnsiTheme="majorHAnsi"/>
          <w:sz w:val="22"/>
          <w:szCs w:val="22"/>
        </w:rPr>
        <w:t>To differentiate between remittance and trade finance applications by analyzing blockchain flows for retail and commercial transactions, validated by central bank survey data.</w:t>
      </w:r>
    </w:p>
    <w:p w:rsidR="004F65C6" w:rsidRPr="004F65C6" w:rsidRDefault="004F65C6" w:rsidP="004F65C6">
      <w:pPr>
        <w:pStyle w:val="BodyText"/>
        <w:numPr>
          <w:ilvl w:val="0"/>
          <w:numId w:val="1"/>
        </w:numPr>
        <w:spacing w:before="201"/>
        <w:jc w:val="both"/>
        <w:rPr>
          <w:rFonts w:asciiTheme="majorHAnsi" w:hAnsiTheme="majorHAnsi"/>
          <w:sz w:val="22"/>
          <w:szCs w:val="22"/>
        </w:rPr>
      </w:pPr>
      <w:r w:rsidRPr="004F65C6">
        <w:rPr>
          <w:rFonts w:asciiTheme="majorHAnsi" w:hAnsiTheme="majorHAnsi"/>
          <w:sz w:val="22"/>
          <w:szCs w:val="22"/>
        </w:rPr>
        <w:t>To assess the impact of macroeconomic stability on remittance costs, inflation hedging, and capital flight through welfare counterfactuals.</w:t>
      </w:r>
    </w:p>
    <w:p w:rsidR="004F65C6" w:rsidRPr="004F65C6" w:rsidRDefault="004F65C6" w:rsidP="004F65C6">
      <w:pPr>
        <w:pStyle w:val="BodyText"/>
        <w:numPr>
          <w:ilvl w:val="0"/>
          <w:numId w:val="1"/>
        </w:numPr>
        <w:spacing w:before="201"/>
        <w:jc w:val="both"/>
        <w:rPr>
          <w:rFonts w:asciiTheme="majorHAnsi" w:hAnsiTheme="majorHAnsi"/>
          <w:sz w:val="22"/>
          <w:szCs w:val="22"/>
        </w:rPr>
      </w:pPr>
      <w:r w:rsidRPr="004F65C6">
        <w:rPr>
          <w:rFonts w:asciiTheme="majorHAnsi" w:hAnsiTheme="majorHAnsi"/>
          <w:sz w:val="22"/>
          <w:szCs w:val="22"/>
        </w:rPr>
        <w:t>To examine the sovereignty dilemma through interviews with 30 central bank officials on the tradeoff between crypto as a survival tool and a threat to monetary stability.</w:t>
      </w:r>
    </w:p>
    <w:p w:rsidR="004F65C6" w:rsidRPr="004F65C6" w:rsidRDefault="004F65C6" w:rsidP="004F65C6">
      <w:pPr>
        <w:pStyle w:val="BodyText"/>
        <w:spacing w:before="201"/>
        <w:jc w:val="both"/>
        <w:rPr>
          <w:rFonts w:asciiTheme="majorHAnsi" w:hAnsiTheme="majorHAnsi"/>
          <w:b/>
          <w:sz w:val="22"/>
          <w:szCs w:val="22"/>
        </w:rPr>
      </w:pPr>
      <w:r w:rsidRPr="004F65C6">
        <w:rPr>
          <w:rFonts w:asciiTheme="majorHAnsi" w:hAnsiTheme="majorHAnsi"/>
          <w:b/>
          <w:sz w:val="22"/>
          <w:szCs w:val="22"/>
        </w:rPr>
        <w:t>The Significance and Contributions of the Study:</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This study has three contributions to the policies. First, it educates the policy on sanctions efficacy by quantifying the channels of leakage and determine the level at which crypto adoption significantly compromises restrictions.</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lastRenderedPageBreak/>
        <w:t>Second, it informs the design of CBDC in approved economies by exposing the level of competitive dynamics between sovereign digital and crypto currencies.</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Third, it contributes to the theory of financial sovereignty by showing that network economics and institutional limitations are influencing monetary options. The results show that binary accounts of crypto as a liberation technology or as an illegitimate enabler are not necessarily the case, and instead form a massively complicated balance between adoption patterns and structural advantage and state capacity.</w:t>
      </w:r>
    </w:p>
    <w:p w:rsidR="004F65C6" w:rsidRPr="004F65C6" w:rsidRDefault="004F65C6" w:rsidP="004F65C6">
      <w:pPr>
        <w:pStyle w:val="BodyText"/>
        <w:spacing w:before="201"/>
        <w:jc w:val="both"/>
        <w:rPr>
          <w:rFonts w:asciiTheme="majorHAnsi" w:hAnsiTheme="majorHAnsi"/>
          <w:b/>
          <w:sz w:val="22"/>
          <w:szCs w:val="22"/>
        </w:rPr>
      </w:pPr>
      <w:r w:rsidRPr="004F65C6">
        <w:rPr>
          <w:rFonts w:asciiTheme="majorHAnsi" w:hAnsiTheme="majorHAnsi"/>
          <w:b/>
          <w:sz w:val="22"/>
          <w:szCs w:val="22"/>
        </w:rPr>
        <w:t>LITERATURE REVIEW</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xml:space="preserve">According to the Monetary Sovereignty Theory, the ability of the state to manage the money supply, exchange rates, and flows of capital is a fundamental economic force (Rey, 2025). Sanctions strike this sovereignty directly by using the exorbitant privilege of the dollar as a weapon that causes a crisis of dollar shortage in chosen economy leading to the collapse of import capacity and hyperinflation. Graf von </w:t>
      </w:r>
      <w:proofErr w:type="spellStart"/>
      <w:r w:rsidRPr="004F65C6">
        <w:rPr>
          <w:rFonts w:asciiTheme="majorHAnsi" w:hAnsiTheme="majorHAnsi"/>
          <w:sz w:val="22"/>
          <w:szCs w:val="22"/>
        </w:rPr>
        <w:t>Luckner</w:t>
      </w:r>
      <w:proofErr w:type="spellEnd"/>
      <w:r w:rsidRPr="004F65C6">
        <w:rPr>
          <w:rFonts w:asciiTheme="majorHAnsi" w:hAnsiTheme="majorHAnsi"/>
          <w:sz w:val="22"/>
          <w:szCs w:val="22"/>
        </w:rPr>
        <w:t xml:space="preserve"> et al. (2024) prove that the probability of capital flight rises by 40-60% of emerging markets with the introduction of sanctions and undermines the tax base and monetary authority.</w:t>
      </w:r>
    </w:p>
    <w:p w:rsidR="004F65C6" w:rsidRPr="004F65C6" w:rsidRDefault="004F65C6" w:rsidP="004F65C6">
      <w:pPr>
        <w:pStyle w:val="BodyText"/>
        <w:spacing w:before="201"/>
        <w:jc w:val="both"/>
        <w:rPr>
          <w:rFonts w:asciiTheme="majorHAnsi" w:hAnsiTheme="majorHAnsi"/>
          <w:sz w:val="22"/>
          <w:szCs w:val="22"/>
        </w:rPr>
      </w:pPr>
      <w:proofErr w:type="spellStart"/>
      <w:r w:rsidRPr="004F65C6">
        <w:rPr>
          <w:rFonts w:asciiTheme="majorHAnsi" w:hAnsiTheme="majorHAnsi"/>
          <w:sz w:val="22"/>
          <w:szCs w:val="22"/>
        </w:rPr>
        <w:t>Cryptocurrency</w:t>
      </w:r>
      <w:proofErr w:type="spellEnd"/>
      <w:r w:rsidRPr="004F65C6">
        <w:rPr>
          <w:rFonts w:asciiTheme="majorHAnsi" w:hAnsiTheme="majorHAnsi"/>
          <w:sz w:val="22"/>
          <w:szCs w:val="22"/>
        </w:rPr>
        <w:t xml:space="preserve"> brings forth rival sovereignty of money in the form of decentralized networks. Fernandez-</w:t>
      </w:r>
      <w:proofErr w:type="spellStart"/>
      <w:r w:rsidRPr="004F65C6">
        <w:rPr>
          <w:rFonts w:asciiTheme="majorHAnsi" w:hAnsiTheme="majorHAnsi"/>
          <w:sz w:val="22"/>
          <w:szCs w:val="22"/>
        </w:rPr>
        <w:t>Villaverde</w:t>
      </w:r>
      <w:proofErr w:type="spellEnd"/>
      <w:r w:rsidRPr="004F65C6">
        <w:rPr>
          <w:rFonts w:asciiTheme="majorHAnsi" w:hAnsiTheme="majorHAnsi"/>
          <w:sz w:val="22"/>
          <w:szCs w:val="22"/>
        </w:rPr>
        <w:t xml:space="preserve"> and </w:t>
      </w:r>
      <w:proofErr w:type="spellStart"/>
      <w:r w:rsidRPr="004F65C6">
        <w:rPr>
          <w:rFonts w:asciiTheme="majorHAnsi" w:hAnsiTheme="majorHAnsi"/>
          <w:sz w:val="22"/>
          <w:szCs w:val="22"/>
        </w:rPr>
        <w:t>Sanches</w:t>
      </w:r>
      <w:proofErr w:type="spellEnd"/>
      <w:r w:rsidRPr="004F65C6">
        <w:rPr>
          <w:rFonts w:asciiTheme="majorHAnsi" w:hAnsiTheme="majorHAnsi"/>
          <w:sz w:val="22"/>
          <w:szCs w:val="22"/>
        </w:rPr>
        <w:t xml:space="preserve"> (2019) model competition in currency that privately issued monies disciplines government </w:t>
      </w:r>
      <w:proofErr w:type="spellStart"/>
      <w:proofErr w:type="gramStart"/>
      <w:r w:rsidRPr="004F65C6">
        <w:rPr>
          <w:rFonts w:asciiTheme="majorHAnsi" w:hAnsiTheme="majorHAnsi"/>
          <w:sz w:val="22"/>
          <w:szCs w:val="22"/>
        </w:rPr>
        <w:t>seigniorage</w:t>
      </w:r>
      <w:proofErr w:type="spellEnd"/>
      <w:r w:rsidRPr="004F65C6">
        <w:rPr>
          <w:rFonts w:asciiTheme="majorHAnsi" w:hAnsiTheme="majorHAnsi"/>
          <w:sz w:val="22"/>
          <w:szCs w:val="22"/>
        </w:rPr>
        <w:t>,</w:t>
      </w:r>
      <w:proofErr w:type="gramEnd"/>
      <w:r w:rsidRPr="004F65C6">
        <w:rPr>
          <w:rFonts w:asciiTheme="majorHAnsi" w:hAnsiTheme="majorHAnsi"/>
          <w:sz w:val="22"/>
          <w:szCs w:val="22"/>
        </w:rPr>
        <w:t xml:space="preserve"> and in their model is assumed that there is legal convertibility and regulatory supervision, neither of which exists in sanctioned economies. We further apply this model to contested monetary space, in which crypto is a shadow sovereign: formally non-existent, but functionally better than cross-border money. Network economics is critical; the value of </w:t>
      </w:r>
      <w:proofErr w:type="spellStart"/>
      <w:r w:rsidRPr="004F65C6">
        <w:rPr>
          <w:rFonts w:asciiTheme="majorHAnsi" w:hAnsiTheme="majorHAnsi"/>
          <w:sz w:val="22"/>
          <w:szCs w:val="22"/>
        </w:rPr>
        <w:t>cryptocurrencies</w:t>
      </w:r>
      <w:proofErr w:type="spellEnd"/>
      <w:r w:rsidRPr="004F65C6">
        <w:rPr>
          <w:rFonts w:asciiTheme="majorHAnsi" w:hAnsiTheme="majorHAnsi"/>
          <w:sz w:val="22"/>
          <w:szCs w:val="22"/>
        </w:rPr>
        <w:t xml:space="preserve"> is based on adoption externalities where the marginal utility is increasing with the network size (Auer et al., 2025). This sets up self-perpetuating loops in sanctioned economies, with businesses accepting crypto to import, and others to keep business ties, bringing aligned equilibrium changes to fiat and crypto-based commerce.</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xml:space="preserve">This is complicated by Blockchain Attribution Problems. The blockchain data have inalienable records of transactions but are not native identity layers. </w:t>
      </w:r>
      <w:proofErr w:type="spellStart"/>
      <w:r w:rsidRPr="004F65C6">
        <w:rPr>
          <w:rFonts w:asciiTheme="majorHAnsi" w:hAnsiTheme="majorHAnsi"/>
          <w:sz w:val="22"/>
          <w:szCs w:val="22"/>
        </w:rPr>
        <w:t>Chainalysis</w:t>
      </w:r>
      <w:proofErr w:type="spellEnd"/>
      <w:r w:rsidRPr="004F65C6">
        <w:rPr>
          <w:rFonts w:asciiTheme="majorHAnsi" w:hAnsiTheme="majorHAnsi"/>
          <w:sz w:val="22"/>
          <w:szCs w:val="22"/>
        </w:rPr>
        <w:t xml:space="preserve"> and TRM Labs employ heuristic clustering to assign address to entities, and obtain 60-70% accuracy on commercially active wallets.</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But the blurring of flows by having services (e.g. Tornado Cash) and privacy coins (</w:t>
      </w:r>
      <w:proofErr w:type="spellStart"/>
      <w:r w:rsidRPr="004F65C6">
        <w:rPr>
          <w:rFonts w:asciiTheme="majorHAnsi" w:hAnsiTheme="majorHAnsi"/>
          <w:sz w:val="22"/>
          <w:szCs w:val="22"/>
        </w:rPr>
        <w:t>Monero</w:t>
      </w:r>
      <w:proofErr w:type="spellEnd"/>
      <w:r w:rsidRPr="004F65C6">
        <w:rPr>
          <w:rFonts w:asciiTheme="majorHAnsi" w:hAnsiTheme="majorHAnsi"/>
          <w:sz w:val="22"/>
          <w:szCs w:val="22"/>
        </w:rPr>
        <w:t xml:space="preserve">, </w:t>
      </w:r>
      <w:proofErr w:type="spellStart"/>
      <w:r w:rsidRPr="004F65C6">
        <w:rPr>
          <w:rFonts w:asciiTheme="majorHAnsi" w:hAnsiTheme="majorHAnsi"/>
          <w:sz w:val="22"/>
          <w:szCs w:val="22"/>
        </w:rPr>
        <w:t>Zcash</w:t>
      </w:r>
      <w:proofErr w:type="spellEnd"/>
      <w:r w:rsidRPr="004F65C6">
        <w:rPr>
          <w:rFonts w:asciiTheme="majorHAnsi" w:hAnsiTheme="majorHAnsi"/>
          <w:sz w:val="22"/>
          <w:szCs w:val="22"/>
        </w:rPr>
        <w:t xml:space="preserve">) on the same blockchain, and the breaking of audit trails by chain-hopping across </w:t>
      </w:r>
      <w:proofErr w:type="spellStart"/>
      <w:r w:rsidRPr="004F65C6">
        <w:rPr>
          <w:rFonts w:asciiTheme="majorHAnsi" w:hAnsiTheme="majorHAnsi"/>
          <w:sz w:val="22"/>
          <w:szCs w:val="22"/>
        </w:rPr>
        <w:t>blockchains</w:t>
      </w:r>
      <w:proofErr w:type="spellEnd"/>
      <w:r w:rsidRPr="004F65C6">
        <w:rPr>
          <w:rFonts w:asciiTheme="majorHAnsi" w:hAnsiTheme="majorHAnsi"/>
          <w:sz w:val="22"/>
          <w:szCs w:val="22"/>
        </w:rPr>
        <w:t>, makes this a complicated problem. The methodology in this paper is also conservative, and the analysis is only limited to transactions with known VASPs (Virtual Asset Service Providers) actually implementing Know-Your-Customer (KYC) protocols, which undoubtedly underestimates the actual volumes but is certain to be reliable.</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xml:space="preserve">Initial studies about crypto in the developing world focused on the reduction of remittance costs and financial inclusion. </w:t>
      </w:r>
      <w:proofErr w:type="gramStart"/>
      <w:r w:rsidRPr="004F65C6">
        <w:rPr>
          <w:rFonts w:asciiTheme="majorHAnsi" w:hAnsiTheme="majorHAnsi"/>
          <w:sz w:val="22"/>
          <w:szCs w:val="22"/>
        </w:rPr>
        <w:t xml:space="preserve">Makarov and </w:t>
      </w:r>
      <w:proofErr w:type="spellStart"/>
      <w:r w:rsidRPr="004F65C6">
        <w:rPr>
          <w:rFonts w:asciiTheme="majorHAnsi" w:hAnsiTheme="majorHAnsi"/>
          <w:sz w:val="22"/>
          <w:szCs w:val="22"/>
        </w:rPr>
        <w:t>Schoar</w:t>
      </w:r>
      <w:proofErr w:type="spellEnd"/>
      <w:r w:rsidRPr="004F65C6">
        <w:rPr>
          <w:rFonts w:asciiTheme="majorHAnsi" w:hAnsiTheme="majorHAnsi"/>
          <w:sz w:val="22"/>
          <w:szCs w:val="22"/>
        </w:rPr>
        <w:t xml:space="preserve"> (2022) record that </w:t>
      </w:r>
      <w:proofErr w:type="spellStart"/>
      <w:r w:rsidRPr="004F65C6">
        <w:rPr>
          <w:rFonts w:asciiTheme="majorHAnsi" w:hAnsiTheme="majorHAnsi"/>
          <w:sz w:val="22"/>
          <w:szCs w:val="22"/>
        </w:rPr>
        <w:t>Bitcoin</w:t>
      </w:r>
      <w:proofErr w:type="spellEnd"/>
      <w:r w:rsidRPr="004F65C6">
        <w:rPr>
          <w:rFonts w:asciiTheme="majorHAnsi" w:hAnsiTheme="majorHAnsi"/>
          <w:sz w:val="22"/>
          <w:szCs w:val="22"/>
        </w:rPr>
        <w:t xml:space="preserve"> lowers cross-border transfer expenses of 7% to 1-2% yet their sample does not comprise official jurisdictions where official crypto exchanges have been geo-blocked.</w:t>
      </w:r>
      <w:proofErr w:type="gramEnd"/>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xml:space="preserve">The later reporting indicates that there are also cases of two-sided uses: the crypto is used by Iranian expatriates to support their families, and the same system supports IRGC financing and </w:t>
      </w:r>
      <w:proofErr w:type="spellStart"/>
      <w:r w:rsidRPr="004F65C6">
        <w:rPr>
          <w:rFonts w:asciiTheme="majorHAnsi" w:hAnsiTheme="majorHAnsi"/>
          <w:sz w:val="22"/>
          <w:szCs w:val="22"/>
        </w:rPr>
        <w:t>Hougthi</w:t>
      </w:r>
      <w:proofErr w:type="spellEnd"/>
      <w:r w:rsidRPr="004F65C6">
        <w:rPr>
          <w:rFonts w:asciiTheme="majorHAnsi" w:hAnsiTheme="majorHAnsi"/>
          <w:sz w:val="22"/>
          <w:szCs w:val="22"/>
        </w:rPr>
        <w:t xml:space="preserve"> weapons procurement.</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xml:space="preserve">The prevailing welfare issue is Capital Flight. According to </w:t>
      </w:r>
      <w:proofErr w:type="spellStart"/>
      <w:r w:rsidRPr="004F65C6">
        <w:rPr>
          <w:rFonts w:asciiTheme="majorHAnsi" w:hAnsiTheme="majorHAnsi"/>
          <w:sz w:val="22"/>
          <w:szCs w:val="22"/>
        </w:rPr>
        <w:t>Copestake</w:t>
      </w:r>
      <w:proofErr w:type="spellEnd"/>
      <w:r w:rsidRPr="004F65C6">
        <w:rPr>
          <w:rFonts w:asciiTheme="majorHAnsi" w:hAnsiTheme="majorHAnsi"/>
          <w:sz w:val="22"/>
          <w:szCs w:val="22"/>
        </w:rPr>
        <w:t xml:space="preserve"> et al. (2023), it is estimated that </w:t>
      </w:r>
      <w:proofErr w:type="spellStart"/>
      <w:r w:rsidRPr="004F65C6">
        <w:rPr>
          <w:rFonts w:asciiTheme="majorHAnsi" w:hAnsiTheme="majorHAnsi"/>
          <w:sz w:val="22"/>
          <w:szCs w:val="22"/>
        </w:rPr>
        <w:t>cryptocurrency</w:t>
      </w:r>
      <w:proofErr w:type="spellEnd"/>
      <w:r w:rsidRPr="004F65C6">
        <w:rPr>
          <w:rFonts w:asciiTheme="majorHAnsi" w:hAnsiTheme="majorHAnsi"/>
          <w:sz w:val="22"/>
          <w:szCs w:val="22"/>
        </w:rPr>
        <w:t xml:space="preserve"> facilitates illegal outflows of capital in emerging markets to the tune of $30-50 billion a year, which destabilizes the capital controls and exchange rates. In approved economies, this force heightens. The 2024 Iranian crypto outflow of the 70 percent (4.18 billion) was equivalent to 8 percent of reported exports.</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The capital flight of Venezuela through crypto is hard to measure, but may be worth more than 1 billion a year, and is encouraged by the rich elite, who are converting their wealth in USDT to save against the bolivar depreciation.</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xml:space="preserve">The distributional skew of benefits of inflation Hedging is seen. The use of USDT made Venezuela households stand 229% of inflation per year, though its adoption is related to urban location, smartphone access, and financial literacy, with the benefits concentrated among the highest 30% income group. The rural people do not have access </w:t>
      </w:r>
      <w:r w:rsidRPr="004F65C6">
        <w:rPr>
          <w:rFonts w:asciiTheme="majorHAnsi" w:hAnsiTheme="majorHAnsi"/>
          <w:sz w:val="22"/>
          <w:szCs w:val="22"/>
        </w:rPr>
        <w:lastRenderedPageBreak/>
        <w:t xml:space="preserve">to reliable internet, and they still rely on the use of cash-based bolivar payments, which makes them more unequal. This trend is in line with the </w:t>
      </w:r>
      <w:proofErr w:type="spellStart"/>
      <w:r w:rsidRPr="004F65C6">
        <w:rPr>
          <w:rFonts w:asciiTheme="majorHAnsi" w:hAnsiTheme="majorHAnsi"/>
          <w:sz w:val="22"/>
          <w:szCs w:val="22"/>
        </w:rPr>
        <w:t>cryptoization</w:t>
      </w:r>
      <w:proofErr w:type="spellEnd"/>
      <w:r w:rsidRPr="004F65C6">
        <w:rPr>
          <w:rFonts w:asciiTheme="majorHAnsi" w:hAnsiTheme="majorHAnsi"/>
          <w:sz w:val="22"/>
          <w:szCs w:val="22"/>
        </w:rPr>
        <w:t xml:space="preserve"> anxieties of the IMF as adopting digital assets weakens the domestic base of the monetary base, </w:t>
      </w:r>
      <w:proofErr w:type="spellStart"/>
      <w:r w:rsidRPr="004F65C6">
        <w:rPr>
          <w:rFonts w:asciiTheme="majorHAnsi" w:hAnsiTheme="majorHAnsi"/>
          <w:sz w:val="22"/>
          <w:szCs w:val="22"/>
        </w:rPr>
        <w:t>seigniorage</w:t>
      </w:r>
      <w:proofErr w:type="spellEnd"/>
      <w:r w:rsidRPr="004F65C6">
        <w:rPr>
          <w:rFonts w:asciiTheme="majorHAnsi" w:hAnsiTheme="majorHAnsi"/>
          <w:sz w:val="22"/>
          <w:szCs w:val="22"/>
        </w:rPr>
        <w:t xml:space="preserve"> revenue, and transmission of monetary policy.</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xml:space="preserve">Three issues run through the institutional opposition to crypto by IMF (Loss of </w:t>
      </w:r>
      <w:proofErr w:type="spellStart"/>
      <w:r w:rsidRPr="004F65C6">
        <w:rPr>
          <w:rFonts w:asciiTheme="majorHAnsi" w:hAnsiTheme="majorHAnsi"/>
          <w:sz w:val="22"/>
          <w:szCs w:val="22"/>
        </w:rPr>
        <w:t>seigniorage</w:t>
      </w:r>
      <w:proofErr w:type="spellEnd"/>
      <w:r w:rsidRPr="004F65C6">
        <w:rPr>
          <w:rFonts w:asciiTheme="majorHAnsi" w:hAnsiTheme="majorHAnsi"/>
          <w:sz w:val="22"/>
          <w:szCs w:val="22"/>
        </w:rPr>
        <w:t xml:space="preserve"> through fiscal erosion, 2) financial stability risks of unstable coins being </w:t>
      </w:r>
      <w:proofErr w:type="gramStart"/>
      <w:r w:rsidRPr="004F65C6">
        <w:rPr>
          <w:rFonts w:asciiTheme="majorHAnsi" w:hAnsiTheme="majorHAnsi"/>
          <w:sz w:val="22"/>
          <w:szCs w:val="22"/>
        </w:rPr>
        <w:t>run,</w:t>
      </w:r>
      <w:proofErr w:type="gramEnd"/>
      <w:r w:rsidRPr="004F65C6">
        <w:rPr>
          <w:rFonts w:asciiTheme="majorHAnsi" w:hAnsiTheme="majorHAnsi"/>
          <w:sz w:val="22"/>
          <w:szCs w:val="22"/>
        </w:rPr>
        <w:t xml:space="preserve"> and (3) facilitation of illicit finance).</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xml:space="preserve">Adrian (2023) posits that the extensive use of crypto can undermine the success of the conventional monetary policy, particularly in economies that have frail institutions and unstable currencies. It is reflected by the Bank for International Settlement which cautions that </w:t>
      </w:r>
      <w:proofErr w:type="spellStart"/>
      <w:r w:rsidRPr="004F65C6">
        <w:rPr>
          <w:rFonts w:asciiTheme="majorHAnsi" w:hAnsiTheme="majorHAnsi"/>
          <w:sz w:val="22"/>
          <w:szCs w:val="22"/>
        </w:rPr>
        <w:t>stablecoins</w:t>
      </w:r>
      <w:proofErr w:type="spellEnd"/>
      <w:r w:rsidRPr="004F65C6">
        <w:rPr>
          <w:rFonts w:asciiTheme="majorHAnsi" w:hAnsiTheme="majorHAnsi"/>
          <w:sz w:val="22"/>
          <w:szCs w:val="22"/>
        </w:rPr>
        <w:t xml:space="preserve"> build parallel monetary systems that disintegrate liquidity and undermine lender-of-last-resort activities.</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xml:space="preserve">However, sanctioned economies have a </w:t>
      </w:r>
      <w:proofErr w:type="spellStart"/>
      <w:proofErr w:type="gramStart"/>
      <w:r w:rsidRPr="004F65C6">
        <w:rPr>
          <w:rFonts w:asciiTheme="majorHAnsi" w:hAnsiTheme="majorHAnsi"/>
          <w:sz w:val="22"/>
          <w:szCs w:val="22"/>
        </w:rPr>
        <w:t>trilemma</w:t>
      </w:r>
      <w:proofErr w:type="spellEnd"/>
      <w:r w:rsidRPr="004F65C6">
        <w:rPr>
          <w:rFonts w:asciiTheme="majorHAnsi" w:hAnsiTheme="majorHAnsi"/>
          <w:sz w:val="22"/>
          <w:szCs w:val="22"/>
        </w:rPr>
        <w:t>,</w:t>
      </w:r>
      <w:proofErr w:type="gramEnd"/>
      <w:r w:rsidRPr="004F65C6">
        <w:rPr>
          <w:rFonts w:asciiTheme="majorHAnsi" w:hAnsiTheme="majorHAnsi"/>
          <w:sz w:val="22"/>
          <w:szCs w:val="22"/>
        </w:rPr>
        <w:t xml:space="preserve"> they </w:t>
      </w:r>
      <w:proofErr w:type="spellStart"/>
      <w:r w:rsidRPr="004F65C6">
        <w:rPr>
          <w:rFonts w:asciiTheme="majorHAnsi" w:hAnsiTheme="majorHAnsi"/>
          <w:sz w:val="22"/>
          <w:szCs w:val="22"/>
        </w:rPr>
        <w:t>can not</w:t>
      </w:r>
      <w:proofErr w:type="spellEnd"/>
      <w:r w:rsidRPr="004F65C6">
        <w:rPr>
          <w:rFonts w:asciiTheme="majorHAnsi" w:hAnsiTheme="majorHAnsi"/>
          <w:sz w:val="22"/>
          <w:szCs w:val="22"/>
        </w:rPr>
        <w:t xml:space="preserve"> at the same time enjoy monetary sovereignty, be </w:t>
      </w:r>
      <w:proofErr w:type="spellStart"/>
      <w:r w:rsidRPr="004F65C6">
        <w:rPr>
          <w:rFonts w:asciiTheme="majorHAnsi" w:hAnsiTheme="majorHAnsi"/>
          <w:sz w:val="22"/>
          <w:szCs w:val="22"/>
        </w:rPr>
        <w:t>globalised</w:t>
      </w:r>
      <w:proofErr w:type="spellEnd"/>
      <w:r w:rsidRPr="004F65C6">
        <w:rPr>
          <w:rFonts w:asciiTheme="majorHAnsi" w:hAnsiTheme="majorHAnsi"/>
          <w:sz w:val="22"/>
          <w:szCs w:val="22"/>
        </w:rPr>
        <w:t xml:space="preserve"> financially and avoid capital flight. Crypto provides a second-best option, which involves the loss of sovereignty as a result of maintaining trade. This generates incoherence in policy: on the one hand, central banks publicly condemn crypto, on the other hand, they allow it to be used in order to import strategically. As an example, the central bank of Iran licenses miners to sell </w:t>
      </w:r>
      <w:proofErr w:type="spellStart"/>
      <w:r w:rsidRPr="004F65C6">
        <w:rPr>
          <w:rFonts w:asciiTheme="majorHAnsi" w:hAnsiTheme="majorHAnsi"/>
          <w:sz w:val="22"/>
          <w:szCs w:val="22"/>
        </w:rPr>
        <w:t>Bitcoin</w:t>
      </w:r>
      <w:proofErr w:type="spellEnd"/>
      <w:r w:rsidRPr="004F65C6">
        <w:rPr>
          <w:rFonts w:asciiTheme="majorHAnsi" w:hAnsiTheme="majorHAnsi"/>
          <w:sz w:val="22"/>
          <w:szCs w:val="22"/>
        </w:rPr>
        <w:t xml:space="preserve"> to the state to fund the imports and limiting retail sales to prevent capital flight.</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xml:space="preserve">Sanctions leakage poses a challenge to enforcing. The application of crypto addresses by the OFAC was effective in dealing with </w:t>
      </w:r>
      <w:proofErr w:type="spellStart"/>
      <w:r w:rsidRPr="004F65C6">
        <w:rPr>
          <w:rFonts w:asciiTheme="majorHAnsi" w:hAnsiTheme="majorHAnsi"/>
          <w:sz w:val="22"/>
          <w:szCs w:val="22"/>
        </w:rPr>
        <w:t>Garantex</w:t>
      </w:r>
      <w:proofErr w:type="spellEnd"/>
      <w:r w:rsidRPr="004F65C6">
        <w:rPr>
          <w:rFonts w:asciiTheme="majorHAnsi" w:hAnsiTheme="majorHAnsi"/>
          <w:sz w:val="22"/>
          <w:szCs w:val="22"/>
        </w:rPr>
        <w:t>, as it decreased its volumes of transactions by 60 percent after the sanctions.</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Nevertheless, peer-to-peer (P2P) networks and decentralized exchange (DEX) avoid jurisdiction. According to the Financial Stability Board, privacy-enhancing technologies, and cross-chain bridges generate enforcement gaps that can no longer be remedied by the traditional sanctions.</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Our study measures these leakage channels, drawing the line between manageable flows (by regulated exchanges) and the unmanageable flows (through DEXs and mixers).</w:t>
      </w:r>
    </w:p>
    <w:p w:rsidR="004F65C6" w:rsidRPr="004F65C6" w:rsidRDefault="004F65C6" w:rsidP="004F65C6">
      <w:pPr>
        <w:pStyle w:val="BodyText"/>
        <w:spacing w:before="201"/>
        <w:jc w:val="both"/>
        <w:rPr>
          <w:rFonts w:asciiTheme="majorHAnsi" w:hAnsiTheme="majorHAnsi"/>
          <w:b/>
          <w:sz w:val="22"/>
          <w:szCs w:val="22"/>
        </w:rPr>
      </w:pPr>
      <w:r w:rsidRPr="004F65C6">
        <w:rPr>
          <w:rFonts w:asciiTheme="majorHAnsi" w:hAnsiTheme="majorHAnsi"/>
          <w:b/>
          <w:sz w:val="22"/>
          <w:szCs w:val="22"/>
        </w:rPr>
        <w:t>METHODOLOGY</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xml:space="preserve">Our design is a mixed-methods study that includes: (1) econometrics of panel data based on 25 approved economies (2015-2024), (2) in-depth case studies of five experiences of jurisdiction (Iran, Venezuela, Russia, Cuba, and Afghanistan) and (3) interviews with 30 elite representatives of 18 countries. This triangulation resolves the weaknesses of blockchain attribution and considers the policy complexity. </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Where is used to represent country fixed effects, year effects and the conditions to macroeconomic conditions. Standard errors are grouped at the country level so as to deal with serial correlation.</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The selection of the countries was done through most-similar systems design- countries were under the same sanctions imposed by the OFAC/UN but differed with: (1) severity of sanctions, (2) availability of energy resources (mining viability), (3) institutional capacity and (4) level of technological infrastructure. This heterogeneity separates mechanisms of causation that cause adoption disparity.</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The interview questionnaires (see Appendix A) were semi-structured and asked policymakers about the following: crypto policy goals, regulatory framework, welfare considerations, and CBDC development strategies. The interviews were held remotely (2024Q2-Q3) and with assured anonymity in order to promote candor.</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We will use all the countries that are subjected to comprehensive OFAC/UN sanctions during at least two years (2015-2024): Iran, North Korea, Russia, Syria, Venezuela, Cuba, Belarus, Afghanistan, Myanmar, Sudan, South Sudan, Zimbabwe, Nicaragua, Somalia, Libya, Yemen, Iraq (before 2017), Eritrea, Mali, Burkina Faso, Guinea, Guinea-Bissau, Central African Republic, Democratic Republic of Congo, and Mal This is 1.2 billion (15% of global population) people and 3.8 trillion GDP (pre-sanctions) (2021 basis).</w:t>
      </w:r>
    </w:p>
    <w:p w:rsidR="004F65C6" w:rsidRPr="004F65C6" w:rsidRDefault="004F65C6" w:rsidP="004F65C6">
      <w:pPr>
        <w:pStyle w:val="BodyText"/>
        <w:spacing w:before="201"/>
        <w:jc w:val="both"/>
        <w:rPr>
          <w:rFonts w:asciiTheme="majorHAnsi" w:hAnsiTheme="majorHAnsi"/>
          <w:sz w:val="22"/>
          <w:szCs w:val="22"/>
        </w:rPr>
      </w:pPr>
      <w:proofErr w:type="spellStart"/>
      <w:proofErr w:type="gramStart"/>
      <w:r w:rsidRPr="004F65C6">
        <w:rPr>
          <w:rFonts w:asciiTheme="majorHAnsi" w:hAnsiTheme="majorHAnsi"/>
          <w:sz w:val="22"/>
          <w:szCs w:val="22"/>
        </w:rPr>
        <w:t>Chainalysis</w:t>
      </w:r>
      <w:proofErr w:type="spellEnd"/>
      <w:r w:rsidRPr="004F65C6">
        <w:rPr>
          <w:rFonts w:asciiTheme="majorHAnsi" w:hAnsiTheme="majorHAnsi"/>
          <w:sz w:val="22"/>
          <w:szCs w:val="22"/>
        </w:rPr>
        <w:t xml:space="preserve"> Geography of Crypto Report (2020-2024), per capita and PPP-adjusted gross domestic product.</w:t>
      </w:r>
      <w:proofErr w:type="gramEnd"/>
      <w:r w:rsidRPr="004F65C6">
        <w:rPr>
          <w:rFonts w:asciiTheme="majorHAnsi" w:hAnsiTheme="majorHAnsi"/>
          <w:sz w:val="22"/>
          <w:szCs w:val="22"/>
        </w:rPr>
        <w:t xml:space="preserve"> We </w:t>
      </w:r>
      <w:r w:rsidRPr="004F65C6">
        <w:rPr>
          <w:rFonts w:asciiTheme="majorHAnsi" w:hAnsiTheme="majorHAnsi"/>
          <w:sz w:val="22"/>
          <w:szCs w:val="22"/>
        </w:rPr>
        <w:lastRenderedPageBreak/>
        <w:t>create a composite score as a combination of: (a) on-chain transaction volume per capita, (b) VASP user growth, (c) mining activity (where available) and (d) P2P trading intensity.</w:t>
      </w:r>
    </w:p>
    <w:p w:rsidR="004F65C6" w:rsidRPr="004F65C6" w:rsidRDefault="004F65C6" w:rsidP="004F65C6">
      <w:pPr>
        <w:pStyle w:val="BodyText"/>
        <w:spacing w:before="201"/>
        <w:jc w:val="both"/>
        <w:rPr>
          <w:rFonts w:asciiTheme="majorHAnsi" w:hAnsiTheme="majorHAnsi"/>
          <w:sz w:val="22"/>
          <w:szCs w:val="22"/>
        </w:rPr>
      </w:pPr>
      <w:proofErr w:type="gramStart"/>
      <w:r w:rsidRPr="004F65C6">
        <w:rPr>
          <w:rFonts w:asciiTheme="majorHAnsi" w:hAnsiTheme="majorHAnsi"/>
          <w:sz w:val="22"/>
          <w:szCs w:val="22"/>
        </w:rPr>
        <w:t xml:space="preserve">OFAC designations (adding to SDN list), UN Security Council resolutions, EU restrictive actions and secondary sanctions </w:t>
      </w:r>
      <w:proofErr w:type="spellStart"/>
      <w:r w:rsidRPr="004F65C6">
        <w:rPr>
          <w:rFonts w:asciiTheme="majorHAnsi" w:hAnsiTheme="majorHAnsi"/>
          <w:sz w:val="22"/>
          <w:szCs w:val="22"/>
        </w:rPr>
        <w:t>compelments</w:t>
      </w:r>
      <w:proofErr w:type="spellEnd"/>
      <w:r w:rsidRPr="004F65C6">
        <w:rPr>
          <w:rFonts w:asciiTheme="majorHAnsi" w:hAnsiTheme="majorHAnsi"/>
          <w:sz w:val="22"/>
          <w:szCs w:val="22"/>
        </w:rPr>
        <w:t>.</w:t>
      </w:r>
      <w:proofErr w:type="gramEnd"/>
      <w:r w:rsidRPr="004F65C6">
        <w:rPr>
          <w:rFonts w:asciiTheme="majorHAnsi" w:hAnsiTheme="majorHAnsi"/>
          <w:sz w:val="22"/>
          <w:szCs w:val="22"/>
        </w:rPr>
        <w:t xml:space="preserve"> We grade on: </w:t>
      </w:r>
      <w:proofErr w:type="spellStart"/>
      <w:r w:rsidRPr="004F65C6">
        <w:rPr>
          <w:rFonts w:asciiTheme="majorHAnsi" w:hAnsiTheme="majorHAnsi"/>
          <w:sz w:val="22"/>
          <w:szCs w:val="22"/>
        </w:rPr>
        <w:t>sectoral</w:t>
      </w:r>
      <w:proofErr w:type="spellEnd"/>
      <w:r w:rsidRPr="004F65C6">
        <w:rPr>
          <w:rFonts w:asciiTheme="majorHAnsi" w:hAnsiTheme="majorHAnsi"/>
          <w:sz w:val="22"/>
          <w:szCs w:val="22"/>
        </w:rPr>
        <w:t xml:space="preserve"> coverage (finance, energy and defense), entity </w:t>
      </w:r>
      <w:proofErr w:type="spellStart"/>
      <w:r w:rsidRPr="004F65C6">
        <w:rPr>
          <w:rFonts w:asciiTheme="majorHAnsi" w:hAnsiTheme="majorHAnsi"/>
          <w:sz w:val="22"/>
          <w:szCs w:val="22"/>
        </w:rPr>
        <w:t>vs</w:t>
      </w:r>
      <w:proofErr w:type="spellEnd"/>
      <w:r w:rsidRPr="004F65C6">
        <w:rPr>
          <w:rFonts w:asciiTheme="majorHAnsi" w:hAnsiTheme="majorHAnsi"/>
          <w:sz w:val="22"/>
          <w:szCs w:val="22"/>
        </w:rPr>
        <w:t xml:space="preserve"> comprehensive scope and intensity of enforcement (amount of fines to be paid by violators).</w:t>
      </w:r>
    </w:p>
    <w:p w:rsidR="004F65C6" w:rsidRPr="004F65C6" w:rsidRDefault="004F65C6" w:rsidP="004F65C6">
      <w:pPr>
        <w:pStyle w:val="BodyText"/>
        <w:spacing w:before="201"/>
        <w:jc w:val="both"/>
        <w:rPr>
          <w:rFonts w:asciiTheme="majorHAnsi" w:hAnsiTheme="majorHAnsi"/>
          <w:sz w:val="22"/>
          <w:szCs w:val="22"/>
        </w:rPr>
      </w:pPr>
      <w:proofErr w:type="gramStart"/>
      <w:r w:rsidRPr="004F65C6">
        <w:rPr>
          <w:rFonts w:asciiTheme="majorHAnsi" w:hAnsiTheme="majorHAnsi"/>
          <w:sz w:val="22"/>
          <w:szCs w:val="22"/>
        </w:rPr>
        <w:t>IMF World Economic outlook (GDP growth, inflation, changes in exchange rate, exchange rate volatility), World Bank Governance indicators, and IEA electricity prices (to calculate mining costs).</w:t>
      </w:r>
      <w:proofErr w:type="gramEnd"/>
    </w:p>
    <w:p w:rsidR="004F65C6" w:rsidRPr="004F65C6" w:rsidRDefault="004F65C6" w:rsidP="004F65C6">
      <w:pPr>
        <w:pStyle w:val="BodyText"/>
        <w:spacing w:before="201"/>
        <w:jc w:val="both"/>
        <w:rPr>
          <w:rFonts w:asciiTheme="majorHAnsi" w:hAnsiTheme="majorHAnsi"/>
          <w:sz w:val="22"/>
          <w:szCs w:val="22"/>
        </w:rPr>
      </w:pPr>
      <w:proofErr w:type="spellStart"/>
      <w:r w:rsidRPr="004F65C6">
        <w:rPr>
          <w:rFonts w:asciiTheme="majorHAnsi" w:hAnsiTheme="majorHAnsi"/>
          <w:sz w:val="22"/>
          <w:szCs w:val="22"/>
        </w:rPr>
        <w:t>Chainalysis</w:t>
      </w:r>
      <w:proofErr w:type="spellEnd"/>
      <w:r w:rsidRPr="004F65C6">
        <w:rPr>
          <w:rFonts w:asciiTheme="majorHAnsi" w:hAnsiTheme="majorHAnsi"/>
          <w:sz w:val="22"/>
          <w:szCs w:val="22"/>
        </w:rPr>
        <w:t xml:space="preserve"> data updates every network to access an estimated 60% of all crypto activity, which we fill in with a multiple imputation by chained equations (MICE) model, which has been tested on triangulated media coverage and central bank reporting.</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xml:space="preserve">USD-equivalent on-chain </w:t>
      </w:r>
      <w:proofErr w:type="gramStart"/>
      <w:r w:rsidRPr="004F65C6">
        <w:rPr>
          <w:rFonts w:asciiTheme="majorHAnsi" w:hAnsiTheme="majorHAnsi"/>
          <w:sz w:val="22"/>
          <w:szCs w:val="22"/>
        </w:rPr>
        <w:t>flows</w:t>
      </w:r>
      <w:proofErr w:type="gramEnd"/>
      <w:r w:rsidRPr="004F65C6">
        <w:rPr>
          <w:rFonts w:asciiTheme="majorHAnsi" w:hAnsiTheme="majorHAnsi"/>
          <w:sz w:val="22"/>
          <w:szCs w:val="22"/>
        </w:rPr>
        <w:t xml:space="preserve"> total, in relation to the 30-day moving averages in respect of price volatility.</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Measures by the users: wallet address having activity over $100/month, weighted by VASP KYC compliance percentages.</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xml:space="preserve">• Mining intensity: Global share </w:t>
      </w:r>
      <w:proofErr w:type="spellStart"/>
      <w:r w:rsidRPr="004F65C6">
        <w:rPr>
          <w:rFonts w:asciiTheme="majorHAnsi" w:hAnsiTheme="majorHAnsi"/>
          <w:sz w:val="22"/>
          <w:szCs w:val="22"/>
        </w:rPr>
        <w:t>hashrate</w:t>
      </w:r>
      <w:proofErr w:type="spellEnd"/>
      <w:r w:rsidRPr="004F65C6">
        <w:rPr>
          <w:rFonts w:asciiTheme="majorHAnsi" w:hAnsiTheme="majorHAnsi"/>
          <w:sz w:val="22"/>
          <w:szCs w:val="22"/>
        </w:rPr>
        <w:t xml:space="preserve"> (Iran, Russia, Venezuela) by electricity cost advantage.</w:t>
      </w:r>
    </w:p>
    <w:p w:rsidR="004F65C6" w:rsidRPr="004F65C6" w:rsidRDefault="004F65C6" w:rsidP="004F65C6">
      <w:pPr>
        <w:pStyle w:val="BodyText"/>
        <w:spacing w:before="201"/>
        <w:jc w:val="both"/>
        <w:rPr>
          <w:rFonts w:asciiTheme="majorHAnsi" w:hAnsiTheme="majorHAnsi"/>
          <w:sz w:val="22"/>
          <w:szCs w:val="22"/>
        </w:rPr>
      </w:pPr>
      <w:proofErr w:type="gramStart"/>
      <w:r w:rsidRPr="004F65C6">
        <w:rPr>
          <w:rFonts w:asciiTheme="majorHAnsi" w:hAnsiTheme="majorHAnsi"/>
          <w:sz w:val="22"/>
          <w:szCs w:val="22"/>
        </w:rPr>
        <w:t>Merchant acceptance surveys (local chambers of commerce) and crypto payroll usage.</w:t>
      </w:r>
      <w:proofErr w:type="gramEnd"/>
      <w:r w:rsidRPr="004F65C6">
        <w:rPr>
          <w:rFonts w:asciiTheme="majorHAnsi" w:hAnsiTheme="majorHAnsi"/>
          <w:sz w:val="22"/>
          <w:szCs w:val="22"/>
        </w:rPr>
        <w:t xml:space="preserve"> The index goes between 0-100 where 100 is the total replacement of cross-border payments. The score of Iran is 67 (2024), Russia 58, Venezuela 42 and Afghanistan is only 8 because of the gaps in infrastructures.</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In which indexes are approved types (financial, energy, defense, individual), the number of active measures, and the economic impact weights find their way in the trade elasticity literature. After sanctions by SWIFT and oil price cap, the SSI in Russia rose by 12 (2021) to 89 (2024).</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Instrument C: Central Bank Questionnaire on Policy Responses Given to 30 central bank officials (76% response rate), on:</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Regulation policy (banning, limiting, allowing, encouraging)</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CBDC stage of development, (research, pilot, launched)</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xml:space="preserve">• </w:t>
      </w:r>
      <w:proofErr w:type="spellStart"/>
      <w:r w:rsidRPr="004F65C6">
        <w:rPr>
          <w:rFonts w:asciiTheme="majorHAnsi" w:hAnsiTheme="majorHAnsi"/>
          <w:sz w:val="22"/>
          <w:szCs w:val="22"/>
        </w:rPr>
        <w:t>Cryptocurrency</w:t>
      </w:r>
      <w:proofErr w:type="spellEnd"/>
      <w:r w:rsidRPr="004F65C6">
        <w:rPr>
          <w:rFonts w:asciiTheme="majorHAnsi" w:hAnsiTheme="majorHAnsi"/>
          <w:sz w:val="22"/>
          <w:szCs w:val="22"/>
        </w:rPr>
        <w:t xml:space="preserve"> trade, remittances, capital flight evaluations.</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Perceived welfare effects (inflation hedging, inclusion, stability)</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xml:space="preserve">Instrument D: Welfare Impact Model We </w:t>
      </w:r>
      <w:proofErr w:type="gramStart"/>
      <w:r w:rsidRPr="004F65C6">
        <w:rPr>
          <w:rFonts w:asciiTheme="majorHAnsi" w:hAnsiTheme="majorHAnsi"/>
          <w:sz w:val="22"/>
          <w:szCs w:val="22"/>
        </w:rPr>
        <w:t>formulate</w:t>
      </w:r>
      <w:proofErr w:type="gramEnd"/>
      <w:r w:rsidRPr="004F65C6">
        <w:rPr>
          <w:rFonts w:asciiTheme="majorHAnsi" w:hAnsiTheme="majorHAnsi"/>
          <w:sz w:val="22"/>
          <w:szCs w:val="22"/>
        </w:rPr>
        <w:t xml:space="preserve"> counterfactual that can estimate:</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Remittance cost savings: (Traditional cost 5 Crypto cost) × Crypto remittance volume.</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Value of inflation hedging: Crypto balance × Home inflation rate.</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xml:space="preserve">• Costs of capital flight: </w:t>
      </w:r>
      <w:proofErr w:type="spellStart"/>
      <w:r w:rsidRPr="004F65C6">
        <w:rPr>
          <w:rFonts w:asciiTheme="majorHAnsi" w:hAnsiTheme="majorHAnsi"/>
          <w:sz w:val="22"/>
          <w:szCs w:val="22"/>
        </w:rPr>
        <w:t>Cryptocurrencies</w:t>
      </w:r>
      <w:proofErr w:type="spellEnd"/>
      <w:r w:rsidRPr="004F65C6">
        <w:rPr>
          <w:rFonts w:asciiTheme="majorHAnsi" w:hAnsiTheme="majorHAnsi"/>
          <w:sz w:val="22"/>
          <w:szCs w:val="22"/>
        </w:rPr>
        <w:t xml:space="preserve"> outflows × Premium to exchange rate (parallel vs. official rate).</w:t>
      </w:r>
    </w:p>
    <w:p w:rsidR="004F65C6" w:rsidRPr="004F65C6" w:rsidRDefault="004F65C6" w:rsidP="004F65C6">
      <w:pPr>
        <w:pStyle w:val="BodyText"/>
        <w:spacing w:before="201"/>
        <w:jc w:val="both"/>
        <w:rPr>
          <w:rFonts w:asciiTheme="majorHAnsi" w:hAnsiTheme="majorHAnsi"/>
          <w:sz w:val="22"/>
          <w:szCs w:val="22"/>
        </w:rPr>
      </w:pPr>
      <w:proofErr w:type="spellStart"/>
      <w:r w:rsidRPr="004F65C6">
        <w:rPr>
          <w:rFonts w:asciiTheme="majorHAnsi" w:hAnsiTheme="majorHAnsi"/>
          <w:sz w:val="22"/>
          <w:szCs w:val="22"/>
        </w:rPr>
        <w:t>Chainalysis</w:t>
      </w:r>
      <w:proofErr w:type="spellEnd"/>
      <w:r w:rsidRPr="004F65C6">
        <w:rPr>
          <w:rFonts w:asciiTheme="majorHAnsi" w:hAnsiTheme="majorHAnsi"/>
          <w:sz w:val="22"/>
          <w:szCs w:val="22"/>
        </w:rPr>
        <w:t xml:space="preserve">: Blockchain Analytics: </w:t>
      </w:r>
      <w:proofErr w:type="spellStart"/>
      <w:r w:rsidRPr="004F65C6">
        <w:rPr>
          <w:rFonts w:asciiTheme="majorHAnsi" w:hAnsiTheme="majorHAnsi"/>
          <w:sz w:val="22"/>
          <w:szCs w:val="22"/>
        </w:rPr>
        <w:t>Chainalysis</w:t>
      </w:r>
      <w:proofErr w:type="spellEnd"/>
      <w:r w:rsidRPr="004F65C6">
        <w:rPr>
          <w:rFonts w:asciiTheme="majorHAnsi" w:hAnsiTheme="majorHAnsi"/>
          <w:sz w:val="22"/>
          <w:szCs w:val="22"/>
        </w:rPr>
        <w:t xml:space="preserve"> is a company that offers data on a transaction level. We filter for:</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Counterparty identification: VASP attributed 68% volume; the rest 32% "unattributed" and treated separately.</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xml:space="preserve">• </w:t>
      </w:r>
      <w:proofErr w:type="spellStart"/>
      <w:r w:rsidRPr="004F65C6">
        <w:rPr>
          <w:rFonts w:asciiTheme="majorHAnsi" w:hAnsiTheme="majorHAnsi"/>
          <w:sz w:val="22"/>
          <w:szCs w:val="22"/>
        </w:rPr>
        <w:t>Geolocation</w:t>
      </w:r>
      <w:proofErr w:type="spellEnd"/>
      <w:r w:rsidRPr="004F65C6">
        <w:rPr>
          <w:rFonts w:asciiTheme="majorHAnsi" w:hAnsiTheme="majorHAnsi"/>
          <w:sz w:val="22"/>
          <w:szCs w:val="22"/>
        </w:rPr>
        <w:t xml:space="preserve"> IP address analysis (when applicable) and VASP jurisdiction WEO (October 2024) and WGI (2024) Macroeconomic controls Macroeconomic controls. Exchange rate measures of capital flight </w:t>
      </w:r>
      <w:proofErr w:type="spellStart"/>
      <w:r w:rsidRPr="004F65C6">
        <w:rPr>
          <w:rFonts w:asciiTheme="majorHAnsi" w:hAnsiTheme="majorHAnsi"/>
          <w:sz w:val="22"/>
          <w:szCs w:val="22"/>
        </w:rPr>
        <w:t>premia</w:t>
      </w:r>
      <w:proofErr w:type="spellEnd"/>
      <w:r w:rsidRPr="004F65C6">
        <w:rPr>
          <w:rFonts w:asciiTheme="majorHAnsi" w:hAnsiTheme="majorHAnsi"/>
          <w:sz w:val="22"/>
          <w:szCs w:val="22"/>
        </w:rPr>
        <w:t xml:space="preserve"> are supplemented by black market exchange rates of Venezuela, Iran and Argentina obtained via local media.</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xml:space="preserve">Elite Interviews: The interviews were made over encrypted video calls and were carried out with 30 policymakers </w:t>
      </w:r>
      <w:r w:rsidRPr="004F65C6">
        <w:rPr>
          <w:rFonts w:asciiTheme="majorHAnsi" w:hAnsiTheme="majorHAnsi"/>
          <w:sz w:val="22"/>
          <w:szCs w:val="22"/>
        </w:rPr>
        <w:lastRenderedPageBreak/>
        <w:t xml:space="preserve">(22 central bank governors, 8 deputy governors). The duration of interviews was 45-90 minutes, recorded (with the consent) and transcribed with automated tools and verified manually. </w:t>
      </w:r>
      <w:proofErr w:type="spellStart"/>
      <w:r w:rsidRPr="004F65C6">
        <w:rPr>
          <w:rFonts w:asciiTheme="majorHAnsi" w:hAnsiTheme="majorHAnsi"/>
          <w:sz w:val="22"/>
          <w:szCs w:val="22"/>
        </w:rPr>
        <w:t>Anonymization</w:t>
      </w:r>
      <w:proofErr w:type="spellEnd"/>
      <w:r w:rsidRPr="004F65C6">
        <w:rPr>
          <w:rFonts w:asciiTheme="majorHAnsi" w:hAnsiTheme="majorHAnsi"/>
          <w:sz w:val="22"/>
          <w:szCs w:val="22"/>
        </w:rPr>
        <w:t xml:space="preserve"> of quotes is done to ensure that respondents are not affected.</w:t>
      </w:r>
    </w:p>
    <w:p w:rsidR="004F65C6" w:rsidRPr="004F65C6" w:rsidRDefault="004F65C6" w:rsidP="004F65C6">
      <w:pPr>
        <w:pStyle w:val="BodyText"/>
        <w:spacing w:before="201"/>
        <w:jc w:val="both"/>
        <w:rPr>
          <w:rFonts w:asciiTheme="majorHAnsi" w:hAnsiTheme="majorHAnsi"/>
          <w:b/>
          <w:bCs/>
          <w:sz w:val="22"/>
          <w:szCs w:val="22"/>
        </w:rPr>
      </w:pPr>
      <w:r w:rsidRPr="004F65C6">
        <w:rPr>
          <w:rFonts w:asciiTheme="majorHAnsi" w:hAnsiTheme="majorHAnsi"/>
          <w:b/>
          <w:bCs/>
          <w:sz w:val="22"/>
          <w:szCs w:val="22"/>
        </w:rPr>
        <w:t>DATA ANALYSIS AND RESULTS</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b/>
          <w:bCs/>
          <w:sz w:val="22"/>
          <w:szCs w:val="22"/>
        </w:rPr>
        <w:t>Table 1: Summary Statistics (2015-2024)</w:t>
      </w:r>
    </w:p>
    <w:tbl>
      <w:tblPr>
        <w:tblStyle w:val="TableGrid"/>
        <w:tblW w:w="0" w:type="auto"/>
        <w:tblInd w:w="378" w:type="dxa"/>
        <w:tblLook w:val="04A0" w:firstRow="1" w:lastRow="0" w:firstColumn="1" w:lastColumn="0" w:noHBand="0" w:noVBand="1"/>
      </w:tblPr>
      <w:tblGrid>
        <w:gridCol w:w="2918"/>
        <w:gridCol w:w="770"/>
        <w:gridCol w:w="1053"/>
        <w:gridCol w:w="627"/>
        <w:gridCol w:w="749"/>
        <w:gridCol w:w="1557"/>
      </w:tblGrid>
      <w:tr w:rsidR="004F65C6" w:rsidRPr="004F65C6" w:rsidTr="00A228AD">
        <w:tc>
          <w:tcPr>
            <w:tcW w:w="2918"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b/>
                <w:bCs/>
                <w:sz w:val="22"/>
                <w:szCs w:val="22"/>
              </w:rPr>
            </w:pPr>
            <w:r w:rsidRPr="004F65C6">
              <w:rPr>
                <w:rFonts w:asciiTheme="majorHAnsi" w:hAnsiTheme="majorHAnsi"/>
                <w:b/>
                <w:bCs/>
                <w:sz w:val="22"/>
                <w:szCs w:val="22"/>
              </w:rPr>
              <w:t>Variable</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b/>
                <w:bCs/>
                <w:sz w:val="22"/>
                <w:szCs w:val="22"/>
              </w:rPr>
            </w:pPr>
            <w:r w:rsidRPr="004F65C6">
              <w:rPr>
                <w:rFonts w:asciiTheme="majorHAnsi" w:hAnsiTheme="majorHAnsi"/>
                <w:b/>
                <w:bCs/>
                <w:sz w:val="22"/>
                <w:szCs w:val="22"/>
              </w:rPr>
              <w:t>Mean</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b/>
                <w:bCs/>
                <w:sz w:val="22"/>
                <w:szCs w:val="22"/>
              </w:rPr>
            </w:pPr>
            <w:r w:rsidRPr="004F65C6">
              <w:rPr>
                <w:rFonts w:asciiTheme="majorHAnsi" w:hAnsiTheme="majorHAnsi"/>
                <w:b/>
                <w:bCs/>
                <w:sz w:val="22"/>
                <w:szCs w:val="22"/>
              </w:rPr>
              <w:t>Std. Dev.</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b/>
                <w:bCs/>
                <w:sz w:val="22"/>
                <w:szCs w:val="22"/>
              </w:rPr>
            </w:pPr>
            <w:r w:rsidRPr="004F65C6">
              <w:rPr>
                <w:rFonts w:asciiTheme="majorHAnsi" w:hAnsiTheme="majorHAnsi"/>
                <w:b/>
                <w:bCs/>
                <w:sz w:val="22"/>
                <w:szCs w:val="22"/>
              </w:rPr>
              <w:t>Min</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b/>
                <w:bCs/>
                <w:sz w:val="22"/>
                <w:szCs w:val="22"/>
              </w:rPr>
            </w:pPr>
            <w:r w:rsidRPr="004F65C6">
              <w:rPr>
                <w:rFonts w:asciiTheme="majorHAnsi" w:hAnsiTheme="majorHAnsi"/>
                <w:b/>
                <w:bCs/>
                <w:sz w:val="22"/>
                <w:szCs w:val="22"/>
              </w:rPr>
              <w:t>Max</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b/>
                <w:bCs/>
                <w:sz w:val="22"/>
                <w:szCs w:val="22"/>
              </w:rPr>
            </w:pPr>
            <w:r w:rsidRPr="004F65C6">
              <w:rPr>
                <w:rFonts w:asciiTheme="majorHAnsi" w:hAnsiTheme="majorHAnsi"/>
                <w:b/>
                <w:bCs/>
                <w:sz w:val="22"/>
                <w:szCs w:val="22"/>
              </w:rPr>
              <w:t>Observations</w:t>
            </w:r>
          </w:p>
        </w:tc>
      </w:tr>
      <w:tr w:rsidR="004F65C6" w:rsidRPr="004F65C6" w:rsidTr="00A228AD">
        <w:tc>
          <w:tcPr>
            <w:tcW w:w="2918"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Crypto Adoption Index (CAI)</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23.4</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18.7</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2.1</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67.3</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250</w:t>
            </w:r>
          </w:p>
        </w:tc>
      </w:tr>
      <w:tr w:rsidR="004F65C6" w:rsidRPr="004F65C6" w:rsidTr="00A228AD">
        <w:tc>
          <w:tcPr>
            <w:tcW w:w="2918"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Sanctions Severity Index (SSI)</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34.8</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29.1</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0</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89</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250</w:t>
            </w:r>
          </w:p>
        </w:tc>
      </w:tr>
      <w:tr w:rsidR="004F65C6" w:rsidRPr="004F65C6" w:rsidTr="00A228AD">
        <w:tc>
          <w:tcPr>
            <w:tcW w:w="2918"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GDP per capita (PPP, $000s)</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8.2</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4.5</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1.2</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18.3</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250</w:t>
            </w:r>
          </w:p>
        </w:tc>
      </w:tr>
      <w:tr w:rsidR="004F65C6" w:rsidRPr="004F65C6" w:rsidTr="00A228AD">
        <w:tc>
          <w:tcPr>
            <w:tcW w:w="2918"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Inflation rate (%)</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67.3</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142.1</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1.2</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229.0</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250</w:t>
            </w:r>
          </w:p>
        </w:tc>
      </w:tr>
      <w:tr w:rsidR="004F65C6" w:rsidRPr="004F65C6" w:rsidTr="00A228AD">
        <w:tc>
          <w:tcPr>
            <w:tcW w:w="2918"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Internet penetration (%)</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58.4</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21.7</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11.2</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91.3</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250</w:t>
            </w:r>
          </w:p>
        </w:tc>
      </w:tr>
      <w:tr w:rsidR="004F65C6" w:rsidRPr="004F65C6" w:rsidTr="00A228AD">
        <w:tc>
          <w:tcPr>
            <w:tcW w:w="2918"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Energy cost ($/</w:t>
            </w:r>
            <w:proofErr w:type="spellStart"/>
            <w:r w:rsidRPr="004F65C6">
              <w:rPr>
                <w:rFonts w:asciiTheme="majorHAnsi" w:hAnsiTheme="majorHAnsi"/>
                <w:sz w:val="22"/>
                <w:szCs w:val="22"/>
              </w:rPr>
              <w:t>MWh</w:t>
            </w:r>
            <w:proofErr w:type="spellEnd"/>
            <w:r w:rsidRPr="004F65C6">
              <w:rPr>
                <w:rFonts w:asciiTheme="majorHAnsi" w:hAnsiTheme="majorHAnsi"/>
                <w:sz w:val="22"/>
                <w:szCs w:val="22"/>
              </w:rPr>
              <w:t>)</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48.2</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32.4</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15.3</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156.8</w:t>
            </w:r>
          </w:p>
        </w:tc>
        <w:tc>
          <w:tcPr>
            <w:tcW w:w="0" w:type="auto"/>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250</w:t>
            </w:r>
          </w:p>
        </w:tc>
      </w:tr>
    </w:tbl>
    <w:p w:rsidR="004F65C6" w:rsidRPr="004F65C6" w:rsidRDefault="004F65C6" w:rsidP="004F65C6">
      <w:pPr>
        <w:pStyle w:val="BodyText"/>
        <w:spacing w:before="201"/>
        <w:jc w:val="both"/>
        <w:rPr>
          <w:rFonts w:asciiTheme="majorHAnsi" w:hAnsiTheme="majorHAnsi"/>
          <w:b/>
          <w:bCs/>
          <w:sz w:val="22"/>
          <w:szCs w:val="22"/>
        </w:rPr>
      </w:pPr>
    </w:p>
    <w:p w:rsidR="004F65C6" w:rsidRPr="004F65C6" w:rsidRDefault="004F65C6" w:rsidP="004F65C6">
      <w:pPr>
        <w:pStyle w:val="BodyText"/>
        <w:spacing w:before="201"/>
        <w:jc w:val="both"/>
        <w:rPr>
          <w:rFonts w:asciiTheme="majorHAnsi" w:hAnsiTheme="majorHAnsi"/>
          <w:b/>
          <w:bCs/>
          <w:sz w:val="22"/>
          <w:szCs w:val="22"/>
        </w:rPr>
      </w:pPr>
      <w:r w:rsidRPr="004F65C6">
        <w:rPr>
          <w:rFonts w:asciiTheme="majorHAnsi" w:hAnsiTheme="majorHAnsi"/>
          <w:b/>
          <w:bCs/>
          <w:sz w:val="22"/>
          <w:szCs w:val="22"/>
        </w:rPr>
        <w:t>Key Patterns:</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xml:space="preserve">• Pre-sanctions baseline (2015-2017): The mean CAI in sample was 6.2, which was largely caused by speculation in </w:t>
      </w:r>
      <w:proofErr w:type="spellStart"/>
      <w:r w:rsidRPr="004F65C6">
        <w:rPr>
          <w:rFonts w:asciiTheme="majorHAnsi" w:hAnsiTheme="majorHAnsi"/>
          <w:sz w:val="22"/>
          <w:szCs w:val="22"/>
        </w:rPr>
        <w:t>Bitcoin</w:t>
      </w:r>
      <w:proofErr w:type="spellEnd"/>
      <w:r w:rsidRPr="004F65C6">
        <w:rPr>
          <w:rFonts w:asciiTheme="majorHAnsi" w:hAnsiTheme="majorHAnsi"/>
          <w:sz w:val="22"/>
          <w:szCs w:val="22"/>
        </w:rPr>
        <w:t xml:space="preserve"> by urban tech elites.</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Post-tightening period (2022-2024): CAI shot up to 38.7, which is an increment by 340%. Russia had the highest growth (between 8 and 58 in 18 months after being excluded by SWIFT).</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Cross-sectional fluctuation: Iran (67.3) and Russia (58.1) are at the top, and Afghanistan (8.2) and Somalia (7.4) are in the bottom, which is indicative of infrastructure and capacity of the state restrictions.</w:t>
      </w:r>
    </w:p>
    <w:p w:rsidR="004F65C6" w:rsidRPr="004F65C6" w:rsidRDefault="004F65C6" w:rsidP="004F65C6">
      <w:pPr>
        <w:pStyle w:val="BodyText"/>
        <w:spacing w:before="201"/>
        <w:jc w:val="both"/>
        <w:rPr>
          <w:rFonts w:asciiTheme="majorHAnsi" w:hAnsiTheme="majorHAnsi"/>
          <w:b/>
          <w:bCs/>
          <w:sz w:val="22"/>
          <w:szCs w:val="22"/>
        </w:rPr>
      </w:pPr>
    </w:p>
    <w:p w:rsidR="004F65C6" w:rsidRPr="004F65C6" w:rsidRDefault="004F65C6" w:rsidP="004F65C6">
      <w:pPr>
        <w:pStyle w:val="BodyText"/>
        <w:spacing w:before="201"/>
        <w:jc w:val="both"/>
        <w:rPr>
          <w:rFonts w:asciiTheme="majorHAnsi" w:hAnsiTheme="majorHAnsi"/>
          <w:b/>
          <w:bCs/>
          <w:sz w:val="22"/>
          <w:szCs w:val="22"/>
        </w:rPr>
      </w:pPr>
      <w:r w:rsidRPr="004F65C6">
        <w:rPr>
          <w:rFonts w:asciiTheme="majorHAnsi" w:hAnsiTheme="majorHAnsi"/>
          <w:b/>
          <w:bCs/>
          <w:sz w:val="22"/>
          <w:szCs w:val="22"/>
        </w:rPr>
        <w:t>Table 2: Fixed-Effects Regression Results (Dependent Variable: CAI)</w:t>
      </w:r>
    </w:p>
    <w:p w:rsidR="004F65C6" w:rsidRPr="004F65C6" w:rsidRDefault="004F65C6" w:rsidP="004F65C6">
      <w:pPr>
        <w:pStyle w:val="BodyText"/>
        <w:spacing w:before="201"/>
        <w:jc w:val="both"/>
        <w:rPr>
          <w:rFonts w:asciiTheme="majorHAnsi" w:hAnsiTheme="majorHAnsi"/>
          <w:sz w:val="22"/>
          <w:szCs w:val="22"/>
        </w:rPr>
      </w:pPr>
    </w:p>
    <w:tbl>
      <w:tblPr>
        <w:tblStyle w:val="TableGrid"/>
        <w:tblW w:w="9090" w:type="dxa"/>
        <w:tblInd w:w="468" w:type="dxa"/>
        <w:tblLook w:val="04A0" w:firstRow="1" w:lastRow="0" w:firstColumn="1" w:lastColumn="0" w:noHBand="0" w:noVBand="1"/>
      </w:tblPr>
      <w:tblGrid>
        <w:gridCol w:w="3150"/>
        <w:gridCol w:w="1350"/>
        <w:gridCol w:w="1620"/>
        <w:gridCol w:w="1620"/>
        <w:gridCol w:w="1350"/>
      </w:tblGrid>
      <w:tr w:rsidR="004F65C6" w:rsidRPr="004F65C6" w:rsidTr="00A228AD">
        <w:trPr>
          <w:trHeight w:val="558"/>
        </w:trPr>
        <w:tc>
          <w:tcPr>
            <w:tcW w:w="31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b/>
                <w:bCs/>
                <w:sz w:val="22"/>
                <w:szCs w:val="22"/>
              </w:rPr>
            </w:pPr>
            <w:r w:rsidRPr="004F65C6">
              <w:rPr>
                <w:rFonts w:asciiTheme="majorHAnsi" w:hAnsiTheme="majorHAnsi"/>
                <w:b/>
                <w:bCs/>
                <w:sz w:val="22"/>
                <w:szCs w:val="22"/>
              </w:rPr>
              <w:t>Model</w:t>
            </w:r>
          </w:p>
        </w:tc>
        <w:tc>
          <w:tcPr>
            <w:tcW w:w="13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b/>
                <w:bCs/>
                <w:sz w:val="22"/>
                <w:szCs w:val="22"/>
              </w:rPr>
            </w:pPr>
            <w:r w:rsidRPr="004F65C6">
              <w:rPr>
                <w:rFonts w:asciiTheme="majorHAnsi" w:hAnsiTheme="majorHAnsi"/>
                <w:b/>
                <w:bCs/>
                <w:sz w:val="22"/>
                <w:szCs w:val="22"/>
              </w:rPr>
              <w:t>(1)</w:t>
            </w:r>
          </w:p>
        </w:tc>
        <w:tc>
          <w:tcPr>
            <w:tcW w:w="162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b/>
                <w:bCs/>
                <w:sz w:val="22"/>
                <w:szCs w:val="22"/>
              </w:rPr>
            </w:pPr>
            <w:r w:rsidRPr="004F65C6">
              <w:rPr>
                <w:rFonts w:asciiTheme="majorHAnsi" w:hAnsiTheme="majorHAnsi"/>
                <w:b/>
                <w:bCs/>
                <w:sz w:val="22"/>
                <w:szCs w:val="22"/>
              </w:rPr>
              <w:t>(2)</w:t>
            </w:r>
          </w:p>
        </w:tc>
        <w:tc>
          <w:tcPr>
            <w:tcW w:w="162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b/>
                <w:bCs/>
                <w:sz w:val="22"/>
                <w:szCs w:val="22"/>
              </w:rPr>
            </w:pPr>
            <w:r w:rsidRPr="004F65C6">
              <w:rPr>
                <w:rFonts w:asciiTheme="majorHAnsi" w:hAnsiTheme="majorHAnsi"/>
                <w:b/>
                <w:bCs/>
                <w:sz w:val="22"/>
                <w:szCs w:val="22"/>
              </w:rPr>
              <w:t>(3)</w:t>
            </w:r>
          </w:p>
        </w:tc>
        <w:tc>
          <w:tcPr>
            <w:tcW w:w="13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b/>
                <w:bCs/>
                <w:sz w:val="22"/>
                <w:szCs w:val="22"/>
              </w:rPr>
            </w:pPr>
            <w:r w:rsidRPr="004F65C6">
              <w:rPr>
                <w:rFonts w:asciiTheme="majorHAnsi" w:hAnsiTheme="majorHAnsi"/>
                <w:b/>
                <w:bCs/>
                <w:sz w:val="22"/>
                <w:szCs w:val="22"/>
              </w:rPr>
              <w:t>(4)</w:t>
            </w:r>
          </w:p>
        </w:tc>
      </w:tr>
      <w:tr w:rsidR="004F65C6" w:rsidRPr="004F65C6" w:rsidTr="00A228AD">
        <w:trPr>
          <w:trHeight w:val="544"/>
        </w:trPr>
        <w:tc>
          <w:tcPr>
            <w:tcW w:w="31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b/>
                <w:bCs/>
                <w:sz w:val="22"/>
                <w:szCs w:val="22"/>
              </w:rPr>
              <w:t>Sanctions Severity (SSI)</w:t>
            </w:r>
          </w:p>
        </w:tc>
        <w:tc>
          <w:tcPr>
            <w:tcW w:w="13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0.31***</w:t>
            </w:r>
          </w:p>
        </w:tc>
        <w:tc>
          <w:tcPr>
            <w:tcW w:w="162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0.24***</w:t>
            </w:r>
          </w:p>
        </w:tc>
        <w:tc>
          <w:tcPr>
            <w:tcW w:w="162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0.18**</w:t>
            </w:r>
          </w:p>
        </w:tc>
        <w:tc>
          <w:tcPr>
            <w:tcW w:w="13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0.21***</w:t>
            </w:r>
          </w:p>
        </w:tc>
      </w:tr>
      <w:tr w:rsidR="004F65C6" w:rsidRPr="004F65C6" w:rsidTr="00A228AD">
        <w:trPr>
          <w:trHeight w:val="558"/>
        </w:trPr>
        <w:tc>
          <w:tcPr>
            <w:tcW w:w="31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(0.08)</w:t>
            </w:r>
          </w:p>
        </w:tc>
        <w:tc>
          <w:tcPr>
            <w:tcW w:w="162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(0.07)</w:t>
            </w:r>
          </w:p>
        </w:tc>
        <w:tc>
          <w:tcPr>
            <w:tcW w:w="162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(0.08)</w:t>
            </w:r>
          </w:p>
        </w:tc>
        <w:tc>
          <w:tcPr>
            <w:tcW w:w="13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(0.07)</w:t>
            </w:r>
          </w:p>
        </w:tc>
      </w:tr>
      <w:tr w:rsidR="004F65C6" w:rsidRPr="004F65C6" w:rsidTr="00A228AD">
        <w:trPr>
          <w:trHeight w:val="558"/>
        </w:trPr>
        <w:tc>
          <w:tcPr>
            <w:tcW w:w="31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b/>
                <w:bCs/>
                <w:sz w:val="22"/>
                <w:szCs w:val="22"/>
              </w:rPr>
              <w:t>GDP per capita</w:t>
            </w:r>
          </w:p>
        </w:tc>
        <w:tc>
          <w:tcPr>
            <w:tcW w:w="13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0.42</w:t>
            </w:r>
          </w:p>
        </w:tc>
        <w:tc>
          <w:tcPr>
            <w:tcW w:w="162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0.38</w:t>
            </w:r>
          </w:p>
        </w:tc>
        <w:tc>
          <w:tcPr>
            <w:tcW w:w="13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0.35</w:t>
            </w:r>
          </w:p>
        </w:tc>
      </w:tr>
      <w:tr w:rsidR="004F65C6" w:rsidRPr="004F65C6" w:rsidTr="00A228AD">
        <w:trPr>
          <w:trHeight w:val="558"/>
        </w:trPr>
        <w:tc>
          <w:tcPr>
            <w:tcW w:w="31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(0.35)</w:t>
            </w:r>
          </w:p>
        </w:tc>
        <w:tc>
          <w:tcPr>
            <w:tcW w:w="162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(0.31)</w:t>
            </w:r>
          </w:p>
        </w:tc>
        <w:tc>
          <w:tcPr>
            <w:tcW w:w="13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(0.33)</w:t>
            </w:r>
          </w:p>
        </w:tc>
      </w:tr>
      <w:tr w:rsidR="004F65C6" w:rsidRPr="004F65C6" w:rsidTr="00A228AD">
        <w:trPr>
          <w:trHeight w:val="558"/>
        </w:trPr>
        <w:tc>
          <w:tcPr>
            <w:tcW w:w="31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b/>
                <w:bCs/>
                <w:sz w:val="22"/>
                <w:szCs w:val="22"/>
              </w:rPr>
              <w:t>Inflation rate</w:t>
            </w:r>
          </w:p>
        </w:tc>
        <w:tc>
          <w:tcPr>
            <w:tcW w:w="13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0.02***</w:t>
            </w:r>
          </w:p>
        </w:tc>
        <w:tc>
          <w:tcPr>
            <w:tcW w:w="13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0.02***</w:t>
            </w:r>
          </w:p>
        </w:tc>
      </w:tr>
      <w:tr w:rsidR="004F65C6" w:rsidRPr="004F65C6" w:rsidTr="00A228AD">
        <w:trPr>
          <w:trHeight w:val="558"/>
        </w:trPr>
        <w:tc>
          <w:tcPr>
            <w:tcW w:w="31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(0.01)</w:t>
            </w:r>
          </w:p>
        </w:tc>
        <w:tc>
          <w:tcPr>
            <w:tcW w:w="13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(0.01)</w:t>
            </w:r>
          </w:p>
        </w:tc>
      </w:tr>
      <w:tr w:rsidR="004F65C6" w:rsidRPr="004F65C6" w:rsidTr="00A228AD">
        <w:trPr>
          <w:trHeight w:val="558"/>
        </w:trPr>
        <w:tc>
          <w:tcPr>
            <w:tcW w:w="31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b/>
                <w:bCs/>
                <w:sz w:val="22"/>
                <w:szCs w:val="22"/>
              </w:rPr>
              <w:t>Internet penetration</w:t>
            </w:r>
          </w:p>
        </w:tc>
        <w:tc>
          <w:tcPr>
            <w:tcW w:w="13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0.18**</w:t>
            </w:r>
          </w:p>
        </w:tc>
      </w:tr>
      <w:tr w:rsidR="004F65C6" w:rsidRPr="004F65C6" w:rsidTr="00A228AD">
        <w:trPr>
          <w:trHeight w:val="558"/>
        </w:trPr>
        <w:tc>
          <w:tcPr>
            <w:tcW w:w="31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(0.08)</w:t>
            </w:r>
          </w:p>
        </w:tc>
      </w:tr>
      <w:tr w:rsidR="004F65C6" w:rsidRPr="004F65C6" w:rsidTr="00A228AD">
        <w:trPr>
          <w:trHeight w:val="558"/>
        </w:trPr>
        <w:tc>
          <w:tcPr>
            <w:tcW w:w="31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b/>
                <w:bCs/>
                <w:sz w:val="22"/>
                <w:szCs w:val="22"/>
              </w:rPr>
              <w:t>Energy cost advantage</w:t>
            </w:r>
          </w:p>
        </w:tc>
        <w:tc>
          <w:tcPr>
            <w:tcW w:w="13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-0.24**</w:t>
            </w:r>
          </w:p>
        </w:tc>
      </w:tr>
      <w:tr w:rsidR="004F65C6" w:rsidRPr="004F65C6" w:rsidTr="00A228AD">
        <w:trPr>
          <w:trHeight w:val="558"/>
        </w:trPr>
        <w:tc>
          <w:tcPr>
            <w:tcW w:w="31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(0.11)</w:t>
            </w:r>
          </w:p>
        </w:tc>
      </w:tr>
      <w:tr w:rsidR="004F65C6" w:rsidRPr="004F65C6" w:rsidTr="00A228AD">
        <w:trPr>
          <w:trHeight w:val="558"/>
        </w:trPr>
        <w:tc>
          <w:tcPr>
            <w:tcW w:w="31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b/>
                <w:bCs/>
                <w:sz w:val="22"/>
                <w:szCs w:val="22"/>
              </w:rPr>
              <w:t>Country FE</w:t>
            </w:r>
          </w:p>
        </w:tc>
        <w:tc>
          <w:tcPr>
            <w:tcW w:w="13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Yes</w:t>
            </w:r>
          </w:p>
        </w:tc>
        <w:tc>
          <w:tcPr>
            <w:tcW w:w="162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Yes</w:t>
            </w:r>
          </w:p>
        </w:tc>
        <w:tc>
          <w:tcPr>
            <w:tcW w:w="162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Yes</w:t>
            </w:r>
          </w:p>
        </w:tc>
        <w:tc>
          <w:tcPr>
            <w:tcW w:w="13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Yes</w:t>
            </w:r>
          </w:p>
        </w:tc>
      </w:tr>
      <w:tr w:rsidR="004F65C6" w:rsidRPr="004F65C6" w:rsidTr="00A228AD">
        <w:trPr>
          <w:trHeight w:val="558"/>
        </w:trPr>
        <w:tc>
          <w:tcPr>
            <w:tcW w:w="31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b/>
                <w:bCs/>
                <w:sz w:val="22"/>
                <w:szCs w:val="22"/>
              </w:rPr>
              <w:t>Year FE</w:t>
            </w:r>
          </w:p>
        </w:tc>
        <w:tc>
          <w:tcPr>
            <w:tcW w:w="13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Yes</w:t>
            </w:r>
          </w:p>
        </w:tc>
        <w:tc>
          <w:tcPr>
            <w:tcW w:w="162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Yes</w:t>
            </w:r>
          </w:p>
        </w:tc>
        <w:tc>
          <w:tcPr>
            <w:tcW w:w="162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Yes</w:t>
            </w:r>
          </w:p>
        </w:tc>
        <w:tc>
          <w:tcPr>
            <w:tcW w:w="13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Yes</w:t>
            </w:r>
          </w:p>
        </w:tc>
      </w:tr>
      <w:tr w:rsidR="004F65C6" w:rsidRPr="004F65C6" w:rsidTr="00A228AD">
        <w:trPr>
          <w:trHeight w:val="558"/>
        </w:trPr>
        <w:tc>
          <w:tcPr>
            <w:tcW w:w="31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b/>
                <w:bCs/>
                <w:sz w:val="22"/>
                <w:szCs w:val="22"/>
              </w:rPr>
              <w:t>Observations</w:t>
            </w:r>
          </w:p>
        </w:tc>
        <w:tc>
          <w:tcPr>
            <w:tcW w:w="13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250</w:t>
            </w:r>
          </w:p>
        </w:tc>
        <w:tc>
          <w:tcPr>
            <w:tcW w:w="162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250</w:t>
            </w:r>
          </w:p>
        </w:tc>
        <w:tc>
          <w:tcPr>
            <w:tcW w:w="162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250</w:t>
            </w:r>
          </w:p>
        </w:tc>
        <w:tc>
          <w:tcPr>
            <w:tcW w:w="13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250</w:t>
            </w:r>
          </w:p>
        </w:tc>
      </w:tr>
      <w:tr w:rsidR="004F65C6" w:rsidRPr="004F65C6" w:rsidTr="00A228AD">
        <w:trPr>
          <w:trHeight w:val="558"/>
        </w:trPr>
        <w:tc>
          <w:tcPr>
            <w:tcW w:w="31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b/>
                <w:bCs/>
                <w:sz w:val="22"/>
                <w:szCs w:val="22"/>
              </w:rPr>
              <w:t>R-squared</w:t>
            </w:r>
          </w:p>
        </w:tc>
        <w:tc>
          <w:tcPr>
            <w:tcW w:w="13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0.67</w:t>
            </w:r>
          </w:p>
        </w:tc>
        <w:tc>
          <w:tcPr>
            <w:tcW w:w="162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0.68</w:t>
            </w:r>
          </w:p>
        </w:tc>
        <w:tc>
          <w:tcPr>
            <w:tcW w:w="162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0.71</w:t>
            </w:r>
          </w:p>
        </w:tc>
        <w:tc>
          <w:tcPr>
            <w:tcW w:w="135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0.74</w:t>
            </w:r>
          </w:p>
        </w:tc>
      </w:tr>
    </w:tbl>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Notes: Robust standard errors clustered by country. ***, **, * denote significance at 1%, 5%, 10% levels.</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b/>
          <w:sz w:val="22"/>
          <w:szCs w:val="22"/>
        </w:rPr>
        <w:t>Model 1:</w:t>
      </w:r>
      <w:r w:rsidRPr="004F65C6">
        <w:rPr>
          <w:rFonts w:asciiTheme="majorHAnsi" w:hAnsiTheme="majorHAnsi"/>
          <w:sz w:val="22"/>
          <w:szCs w:val="22"/>
        </w:rPr>
        <w:t xml:space="preserve"> Baseline specification demonstrates that SSI coefficient is 0.31 - each 10 points of sanctions increase increases CAI by 3.1 points. This is economically important; a SSI rise of 77 points (2021-2024) in Russia will result in an increase in CAI of 23.9 points, which is 60 percent of the growth.</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b/>
          <w:sz w:val="22"/>
          <w:szCs w:val="22"/>
        </w:rPr>
        <w:t>Model 2:</w:t>
      </w:r>
      <w:r w:rsidRPr="004F65C6">
        <w:rPr>
          <w:rFonts w:asciiTheme="majorHAnsi" w:hAnsiTheme="majorHAnsi"/>
          <w:sz w:val="22"/>
          <w:szCs w:val="22"/>
        </w:rPr>
        <w:t xml:space="preserve"> The positive predictors of the adoption are inflation, hyperinflationary contexts (Venezuela, Sudan), which experience 0.2 point CAI change in response to 10 per cent increase in inflation, or flight-to-safety.</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b/>
          <w:sz w:val="22"/>
          <w:szCs w:val="22"/>
        </w:rPr>
        <w:t>Model 3:</w:t>
      </w:r>
      <w:r w:rsidRPr="004F65C6">
        <w:rPr>
          <w:rFonts w:asciiTheme="majorHAnsi" w:hAnsiTheme="majorHAnsi"/>
          <w:sz w:val="22"/>
          <w:szCs w:val="22"/>
        </w:rPr>
        <w:t xml:space="preserve"> There is a binding relationship between internet penetration and higher adoption: the increased the connection, the more likely the higher adoption. Mining-induced adoption is strongly predicted by energy cost advantage (lower electricity) (Iran, Russia), with a one- dollar of less expensive electricity price related to 2.4-point CAI increment.</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b/>
          <w:sz w:val="22"/>
          <w:szCs w:val="22"/>
        </w:rPr>
        <w:t>Test:</w:t>
      </w:r>
      <w:r w:rsidRPr="004F65C6">
        <w:rPr>
          <w:rFonts w:asciiTheme="majorHAnsi" w:hAnsiTheme="majorHAnsi"/>
          <w:sz w:val="22"/>
          <w:szCs w:val="22"/>
        </w:rPr>
        <w:t xml:space="preserve"> Placebo Test: CAI regression on future severity of sanctions (SSI at t+2). Coefficient also does not matter </w:t>
      </w:r>
      <w:proofErr w:type="gramStart"/>
      <w:r w:rsidRPr="004F65C6">
        <w:rPr>
          <w:rFonts w:asciiTheme="majorHAnsi" w:hAnsiTheme="majorHAnsi"/>
          <w:sz w:val="22"/>
          <w:szCs w:val="22"/>
        </w:rPr>
        <w:t>( 0.04</w:t>
      </w:r>
      <w:proofErr w:type="gramEnd"/>
      <w:r w:rsidRPr="004F65C6">
        <w:rPr>
          <w:rFonts w:asciiTheme="majorHAnsi" w:hAnsiTheme="majorHAnsi"/>
          <w:sz w:val="22"/>
          <w:szCs w:val="22"/>
        </w:rPr>
        <w:t>, p=0.51) and hence should be interpreted causally such that adoption is caused by sanctions and not vice versa.</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b/>
          <w:bCs/>
          <w:sz w:val="22"/>
          <w:szCs w:val="22"/>
        </w:rPr>
        <w:t>Table 3: Transaction Volume Decomposition (2024, $ billions)</w:t>
      </w:r>
    </w:p>
    <w:tbl>
      <w:tblPr>
        <w:tblStyle w:val="TableGrid"/>
        <w:tblW w:w="0" w:type="auto"/>
        <w:tblInd w:w="468" w:type="dxa"/>
        <w:tblLayout w:type="fixed"/>
        <w:tblLook w:val="04A0" w:firstRow="1" w:lastRow="0" w:firstColumn="1" w:lastColumn="0" w:noHBand="0" w:noVBand="1"/>
      </w:tblPr>
      <w:tblGrid>
        <w:gridCol w:w="1726"/>
        <w:gridCol w:w="1525"/>
        <w:gridCol w:w="1995"/>
        <w:gridCol w:w="1737"/>
        <w:gridCol w:w="1657"/>
        <w:gridCol w:w="1548"/>
      </w:tblGrid>
      <w:tr w:rsidR="004F65C6" w:rsidRPr="004F65C6" w:rsidTr="00A228AD">
        <w:tc>
          <w:tcPr>
            <w:tcW w:w="1726"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b/>
                <w:bCs/>
                <w:sz w:val="22"/>
                <w:szCs w:val="22"/>
              </w:rPr>
            </w:pPr>
            <w:r w:rsidRPr="004F65C6">
              <w:rPr>
                <w:rFonts w:asciiTheme="majorHAnsi" w:hAnsiTheme="majorHAnsi"/>
                <w:b/>
                <w:bCs/>
                <w:sz w:val="22"/>
                <w:szCs w:val="22"/>
              </w:rPr>
              <w:t>Country</w:t>
            </w:r>
          </w:p>
        </w:tc>
        <w:tc>
          <w:tcPr>
            <w:tcW w:w="1525"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b/>
                <w:bCs/>
                <w:sz w:val="22"/>
                <w:szCs w:val="22"/>
              </w:rPr>
            </w:pPr>
            <w:r w:rsidRPr="004F65C6">
              <w:rPr>
                <w:rFonts w:asciiTheme="majorHAnsi" w:hAnsiTheme="majorHAnsi"/>
                <w:b/>
                <w:bCs/>
                <w:sz w:val="22"/>
                <w:szCs w:val="22"/>
              </w:rPr>
              <w:t>Total Crypto Inflows</w:t>
            </w:r>
          </w:p>
        </w:tc>
        <w:tc>
          <w:tcPr>
            <w:tcW w:w="1995"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b/>
                <w:bCs/>
                <w:sz w:val="22"/>
                <w:szCs w:val="22"/>
              </w:rPr>
            </w:pPr>
            <w:r w:rsidRPr="004F65C6">
              <w:rPr>
                <w:rFonts w:asciiTheme="majorHAnsi" w:hAnsiTheme="majorHAnsi"/>
                <w:b/>
                <w:bCs/>
                <w:sz w:val="22"/>
                <w:szCs w:val="22"/>
              </w:rPr>
              <w:t>Import-Substitution Trade</w:t>
            </w:r>
          </w:p>
        </w:tc>
        <w:tc>
          <w:tcPr>
            <w:tcW w:w="1737"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b/>
                <w:bCs/>
                <w:sz w:val="22"/>
                <w:szCs w:val="22"/>
              </w:rPr>
            </w:pPr>
            <w:r w:rsidRPr="004F65C6">
              <w:rPr>
                <w:rFonts w:asciiTheme="majorHAnsi" w:hAnsiTheme="majorHAnsi"/>
                <w:b/>
                <w:bCs/>
                <w:sz w:val="22"/>
                <w:szCs w:val="22"/>
              </w:rPr>
              <w:t>Remittances</w:t>
            </w:r>
          </w:p>
        </w:tc>
        <w:tc>
          <w:tcPr>
            <w:tcW w:w="1657"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b/>
                <w:bCs/>
                <w:sz w:val="22"/>
                <w:szCs w:val="22"/>
              </w:rPr>
            </w:pPr>
            <w:r w:rsidRPr="004F65C6">
              <w:rPr>
                <w:rFonts w:asciiTheme="majorHAnsi" w:hAnsiTheme="majorHAnsi"/>
                <w:b/>
                <w:bCs/>
                <w:sz w:val="22"/>
                <w:szCs w:val="22"/>
              </w:rPr>
              <w:t>Capital Flight</w:t>
            </w:r>
          </w:p>
        </w:tc>
        <w:tc>
          <w:tcPr>
            <w:tcW w:w="1548"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b/>
                <w:bCs/>
                <w:sz w:val="22"/>
                <w:szCs w:val="22"/>
              </w:rPr>
            </w:pPr>
            <w:r w:rsidRPr="004F65C6">
              <w:rPr>
                <w:rFonts w:asciiTheme="majorHAnsi" w:hAnsiTheme="majorHAnsi"/>
                <w:b/>
                <w:bCs/>
                <w:sz w:val="22"/>
                <w:szCs w:val="22"/>
              </w:rPr>
              <w:t>Unattributed</w:t>
            </w:r>
          </w:p>
        </w:tc>
      </w:tr>
      <w:tr w:rsidR="004F65C6" w:rsidRPr="004F65C6" w:rsidTr="00A228AD">
        <w:tc>
          <w:tcPr>
            <w:tcW w:w="1726"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b/>
                <w:bCs/>
                <w:sz w:val="22"/>
                <w:szCs w:val="22"/>
              </w:rPr>
              <w:t>Iran</w:t>
            </w:r>
          </w:p>
        </w:tc>
        <w:tc>
          <w:tcPr>
            <w:tcW w:w="1525"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15.2</w:t>
            </w:r>
          </w:p>
        </w:tc>
        <w:tc>
          <w:tcPr>
            <w:tcW w:w="1995"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10.3 (68%)</w:t>
            </w:r>
          </w:p>
        </w:tc>
        <w:tc>
          <w:tcPr>
            <w:tcW w:w="1737"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1.8 (12%)</w:t>
            </w:r>
          </w:p>
        </w:tc>
        <w:tc>
          <w:tcPr>
            <w:tcW w:w="1657"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2.1 (14%)</w:t>
            </w:r>
          </w:p>
        </w:tc>
        <w:tc>
          <w:tcPr>
            <w:tcW w:w="1548"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1.0 (7%)</w:t>
            </w:r>
          </w:p>
        </w:tc>
      </w:tr>
      <w:tr w:rsidR="004F65C6" w:rsidRPr="004F65C6" w:rsidTr="00A228AD">
        <w:tc>
          <w:tcPr>
            <w:tcW w:w="1726"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b/>
                <w:bCs/>
                <w:sz w:val="22"/>
                <w:szCs w:val="22"/>
              </w:rPr>
              <w:t>Russia</w:t>
            </w:r>
          </w:p>
        </w:tc>
        <w:tc>
          <w:tcPr>
            <w:tcW w:w="1525"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49.0</w:t>
            </w:r>
          </w:p>
        </w:tc>
        <w:tc>
          <w:tcPr>
            <w:tcW w:w="1995"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31.4 (64%)</w:t>
            </w:r>
          </w:p>
        </w:tc>
        <w:tc>
          <w:tcPr>
            <w:tcW w:w="1737"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4.9 (10%)</w:t>
            </w:r>
          </w:p>
        </w:tc>
        <w:tc>
          <w:tcPr>
            <w:tcW w:w="1657"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9.8 (20%)</w:t>
            </w:r>
          </w:p>
        </w:tc>
        <w:tc>
          <w:tcPr>
            <w:tcW w:w="1548"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2.9 (6%)</w:t>
            </w:r>
          </w:p>
        </w:tc>
      </w:tr>
      <w:tr w:rsidR="004F65C6" w:rsidRPr="004F65C6" w:rsidTr="00A228AD">
        <w:tc>
          <w:tcPr>
            <w:tcW w:w="1726"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b/>
                <w:bCs/>
                <w:sz w:val="22"/>
                <w:szCs w:val="22"/>
              </w:rPr>
              <w:t>Venezuela</w:t>
            </w:r>
          </w:p>
        </w:tc>
        <w:tc>
          <w:tcPr>
            <w:tcW w:w="1525"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3.8</w:t>
            </w:r>
          </w:p>
        </w:tc>
        <w:tc>
          <w:tcPr>
            <w:tcW w:w="1995"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1.5 (39%)</w:t>
            </w:r>
          </w:p>
        </w:tc>
        <w:tc>
          <w:tcPr>
            <w:tcW w:w="1737"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1.4 (37%)</w:t>
            </w:r>
          </w:p>
        </w:tc>
        <w:tc>
          <w:tcPr>
            <w:tcW w:w="1657"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0.6 (16%)</w:t>
            </w:r>
          </w:p>
        </w:tc>
        <w:tc>
          <w:tcPr>
            <w:tcW w:w="1548"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0.3 (8%)</w:t>
            </w:r>
          </w:p>
        </w:tc>
      </w:tr>
      <w:tr w:rsidR="004F65C6" w:rsidRPr="004F65C6" w:rsidTr="00A228AD">
        <w:tc>
          <w:tcPr>
            <w:tcW w:w="1726"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b/>
                <w:bCs/>
                <w:sz w:val="22"/>
                <w:szCs w:val="22"/>
              </w:rPr>
              <w:t>Cuba</w:t>
            </w:r>
          </w:p>
        </w:tc>
        <w:tc>
          <w:tcPr>
            <w:tcW w:w="1525"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0.4</w:t>
            </w:r>
          </w:p>
        </w:tc>
        <w:tc>
          <w:tcPr>
            <w:tcW w:w="1995"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0.05 (13%)</w:t>
            </w:r>
          </w:p>
        </w:tc>
        <w:tc>
          <w:tcPr>
            <w:tcW w:w="1737"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0.28 (70%)</w:t>
            </w:r>
          </w:p>
        </w:tc>
        <w:tc>
          <w:tcPr>
            <w:tcW w:w="1657"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0.03 (7%)</w:t>
            </w:r>
          </w:p>
        </w:tc>
        <w:tc>
          <w:tcPr>
            <w:tcW w:w="1548"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0.04 (10%)</w:t>
            </w:r>
          </w:p>
        </w:tc>
      </w:tr>
      <w:tr w:rsidR="004F65C6" w:rsidRPr="004F65C6" w:rsidTr="00A228AD">
        <w:tc>
          <w:tcPr>
            <w:tcW w:w="1726"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b/>
                <w:bCs/>
                <w:sz w:val="22"/>
                <w:szCs w:val="22"/>
              </w:rPr>
              <w:t>Afghanistan</w:t>
            </w:r>
          </w:p>
        </w:tc>
        <w:tc>
          <w:tcPr>
            <w:tcW w:w="1525"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0.1</w:t>
            </w:r>
          </w:p>
        </w:tc>
        <w:tc>
          <w:tcPr>
            <w:tcW w:w="1995"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0.02 (20%)</w:t>
            </w:r>
          </w:p>
        </w:tc>
        <w:tc>
          <w:tcPr>
            <w:tcW w:w="1737"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0.06 (60%)</w:t>
            </w:r>
          </w:p>
        </w:tc>
        <w:tc>
          <w:tcPr>
            <w:tcW w:w="1657"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0.01 (10%)</w:t>
            </w:r>
          </w:p>
        </w:tc>
        <w:tc>
          <w:tcPr>
            <w:tcW w:w="1548"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0.01 (10%)</w:t>
            </w:r>
          </w:p>
        </w:tc>
      </w:tr>
      <w:tr w:rsidR="004F65C6" w:rsidRPr="004F65C6" w:rsidTr="00A228AD">
        <w:tc>
          <w:tcPr>
            <w:tcW w:w="1726"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b/>
                <w:bCs/>
                <w:sz w:val="22"/>
                <w:szCs w:val="22"/>
              </w:rPr>
              <w:lastRenderedPageBreak/>
              <w:t>Sample Total</w:t>
            </w:r>
          </w:p>
        </w:tc>
        <w:tc>
          <w:tcPr>
            <w:tcW w:w="1525"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85.7</w:t>
            </w:r>
          </w:p>
        </w:tc>
        <w:tc>
          <w:tcPr>
            <w:tcW w:w="1995"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58.3 (68%)</w:t>
            </w:r>
          </w:p>
        </w:tc>
        <w:tc>
          <w:tcPr>
            <w:tcW w:w="1737"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12.4 (14%)</w:t>
            </w:r>
          </w:p>
        </w:tc>
        <w:tc>
          <w:tcPr>
            <w:tcW w:w="1657"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10.2 (12%)</w:t>
            </w:r>
          </w:p>
        </w:tc>
        <w:tc>
          <w:tcPr>
            <w:tcW w:w="1548"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both"/>
              <w:rPr>
                <w:rFonts w:asciiTheme="majorHAnsi" w:hAnsiTheme="majorHAnsi"/>
                <w:sz w:val="22"/>
                <w:szCs w:val="22"/>
              </w:rPr>
            </w:pPr>
            <w:r w:rsidRPr="004F65C6">
              <w:rPr>
                <w:rFonts w:asciiTheme="majorHAnsi" w:hAnsiTheme="majorHAnsi"/>
                <w:sz w:val="22"/>
                <w:szCs w:val="22"/>
              </w:rPr>
              <w:t>4.8 (6%)</w:t>
            </w:r>
          </w:p>
        </w:tc>
      </w:tr>
    </w:tbl>
    <w:p w:rsidR="004F65C6" w:rsidRPr="004F65C6" w:rsidRDefault="004F65C6" w:rsidP="004F65C6">
      <w:pPr>
        <w:pStyle w:val="BodyText"/>
        <w:spacing w:before="201"/>
        <w:jc w:val="both"/>
        <w:rPr>
          <w:rFonts w:asciiTheme="majorHAnsi" w:hAnsiTheme="majorHAnsi"/>
          <w:b/>
          <w:bCs/>
          <w:sz w:val="22"/>
          <w:szCs w:val="22"/>
        </w:rPr>
      </w:pP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b/>
          <w:bCs/>
          <w:sz w:val="22"/>
          <w:szCs w:val="22"/>
        </w:rPr>
        <w:t>Methodology:</w:t>
      </w:r>
      <w:r w:rsidRPr="004F65C6">
        <w:rPr>
          <w:rFonts w:asciiTheme="majorHAnsi" w:hAnsiTheme="majorHAnsi"/>
          <w:sz w:val="22"/>
          <w:szCs w:val="22"/>
        </w:rPr>
        <w:t xml:space="preserve"> The use cases are </w:t>
      </w:r>
      <w:proofErr w:type="spellStart"/>
      <w:r w:rsidRPr="004F65C6">
        <w:rPr>
          <w:rFonts w:asciiTheme="majorHAnsi" w:hAnsiTheme="majorHAnsi"/>
          <w:sz w:val="22"/>
          <w:szCs w:val="22"/>
        </w:rPr>
        <w:t>proxied</w:t>
      </w:r>
      <w:proofErr w:type="spellEnd"/>
      <w:r w:rsidRPr="004F65C6">
        <w:rPr>
          <w:rFonts w:asciiTheme="majorHAnsi" w:hAnsiTheme="majorHAnsi"/>
          <w:sz w:val="22"/>
          <w:szCs w:val="22"/>
        </w:rPr>
        <w:t xml:space="preserve"> by transaction size: retail (&lt;|human|&gt;Proxies: The use cases are indicated by transaction size: retail (&lt;|human|&gt;Proxies: Net outflows to privacy wallets = capital flight, commercial (&gt;100K) = trade finance, retail (&lt;|human|&gt;Proxies: The use cases can be defined by the size of the transaction: retail (&lt;|human|&gt;Proxies: The use cases can be defined by the size of the transaction: retail (&lt;|human|&gt;Proxies: This grouping was checked with the responses of the central bank questionnaire (correlation=0.81).</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Trade dominance: 68% of crypto inflows fund import substitution- the payment of machinery, pharmaceuticals and consumer goods not included in the formal banking. Iranian oil merchants settle with the Chinese buyers in USDT thereby bypassing SWIFT.</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xml:space="preserve">• Significance of remittances: 14 percent of the flows are family transfers. Western Union withdrawal in 2020 will save $15M per year, and Cubans will receive $280M annually through </w:t>
      </w:r>
      <w:proofErr w:type="spellStart"/>
      <w:r w:rsidRPr="004F65C6">
        <w:rPr>
          <w:rFonts w:asciiTheme="majorHAnsi" w:hAnsiTheme="majorHAnsi"/>
          <w:sz w:val="22"/>
          <w:szCs w:val="22"/>
        </w:rPr>
        <w:t>Bitcoin</w:t>
      </w:r>
      <w:proofErr w:type="spellEnd"/>
      <w:r w:rsidRPr="004F65C6">
        <w:rPr>
          <w:rFonts w:asciiTheme="majorHAnsi" w:hAnsiTheme="majorHAnsi"/>
          <w:sz w:val="22"/>
          <w:szCs w:val="22"/>
        </w:rPr>
        <w:t>.</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Concentration of capital flight: Iran and Russia present the most outflows (14-20%), which is a sign of the preservation of elite wealth. The Venezuelan capital flight is smaller in percentage but constitutes 600M per year or 15 percent of reserve at the central bank.</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Check of Robustness: We cross-validate itself with VASP-reported information regarding the type of user (individual vs. corporate account). Our trade finance estimates are associated with 0.92 with corporate account transaction volumes, which is valid in terms of classification.</w:t>
      </w:r>
    </w:p>
    <w:p w:rsidR="004F65C6" w:rsidRPr="004F65C6" w:rsidRDefault="004F65C6" w:rsidP="004F65C6">
      <w:pPr>
        <w:pStyle w:val="BodyText"/>
        <w:spacing w:before="201"/>
        <w:jc w:val="both"/>
        <w:rPr>
          <w:rFonts w:asciiTheme="majorHAnsi" w:hAnsiTheme="majorHAnsi"/>
          <w:b/>
          <w:bCs/>
          <w:sz w:val="22"/>
          <w:szCs w:val="22"/>
        </w:rPr>
      </w:pPr>
    </w:p>
    <w:p w:rsidR="004F65C6" w:rsidRPr="004F65C6" w:rsidRDefault="004F65C6" w:rsidP="004F65C6">
      <w:pPr>
        <w:pStyle w:val="BodyText"/>
        <w:spacing w:before="201"/>
        <w:jc w:val="both"/>
        <w:rPr>
          <w:rFonts w:asciiTheme="majorHAnsi" w:hAnsiTheme="majorHAnsi"/>
          <w:b/>
          <w:bCs/>
          <w:sz w:val="22"/>
          <w:szCs w:val="22"/>
        </w:rPr>
      </w:pPr>
    </w:p>
    <w:p w:rsidR="004F65C6" w:rsidRPr="004F65C6" w:rsidRDefault="004F65C6" w:rsidP="004F65C6">
      <w:pPr>
        <w:pStyle w:val="BodyText"/>
        <w:spacing w:before="201"/>
        <w:jc w:val="both"/>
        <w:rPr>
          <w:rFonts w:asciiTheme="majorHAnsi" w:hAnsiTheme="majorHAnsi"/>
          <w:b/>
          <w:bCs/>
          <w:sz w:val="22"/>
          <w:szCs w:val="22"/>
        </w:rPr>
      </w:pPr>
    </w:p>
    <w:p w:rsidR="004F65C6" w:rsidRPr="004F65C6" w:rsidRDefault="004F65C6" w:rsidP="004F65C6">
      <w:pPr>
        <w:pStyle w:val="BodyText"/>
        <w:spacing w:before="201"/>
        <w:jc w:val="both"/>
        <w:rPr>
          <w:rFonts w:asciiTheme="majorHAnsi" w:hAnsiTheme="majorHAnsi"/>
          <w:b/>
          <w:bCs/>
          <w:sz w:val="22"/>
          <w:szCs w:val="22"/>
        </w:rPr>
      </w:pPr>
      <w:r w:rsidRPr="004F65C6">
        <w:rPr>
          <w:rFonts w:asciiTheme="majorHAnsi" w:hAnsiTheme="majorHAnsi"/>
          <w:b/>
          <w:bCs/>
          <w:sz w:val="22"/>
          <w:szCs w:val="22"/>
        </w:rPr>
        <w:t>Table 4: Welfare Impact Estimates (2024, $ millions)</w:t>
      </w:r>
    </w:p>
    <w:p w:rsidR="004F65C6" w:rsidRPr="004F65C6" w:rsidRDefault="004F65C6" w:rsidP="004F65C6">
      <w:pPr>
        <w:pStyle w:val="BodyText"/>
        <w:spacing w:before="201"/>
        <w:jc w:val="both"/>
        <w:rPr>
          <w:rFonts w:asciiTheme="majorHAnsi" w:hAnsiTheme="majorHAnsi"/>
          <w:sz w:val="22"/>
          <w:szCs w:val="22"/>
        </w:rPr>
      </w:pPr>
    </w:p>
    <w:tbl>
      <w:tblPr>
        <w:tblStyle w:val="TableGrid"/>
        <w:tblW w:w="9548" w:type="dxa"/>
        <w:tblInd w:w="468" w:type="dxa"/>
        <w:tblLook w:val="04A0" w:firstRow="1" w:lastRow="0" w:firstColumn="1" w:lastColumn="0" w:noHBand="0" w:noVBand="1"/>
      </w:tblPr>
      <w:tblGrid>
        <w:gridCol w:w="2790"/>
        <w:gridCol w:w="1158"/>
        <w:gridCol w:w="1542"/>
        <w:gridCol w:w="1260"/>
        <w:gridCol w:w="1260"/>
        <w:gridCol w:w="1538"/>
      </w:tblGrid>
      <w:tr w:rsidR="004F65C6" w:rsidRPr="004F65C6" w:rsidTr="00A228AD">
        <w:trPr>
          <w:trHeight w:val="457"/>
        </w:trPr>
        <w:tc>
          <w:tcPr>
            <w:tcW w:w="279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b/>
                <w:bCs/>
                <w:sz w:val="22"/>
                <w:szCs w:val="22"/>
              </w:rPr>
            </w:pPr>
            <w:r w:rsidRPr="004F65C6">
              <w:rPr>
                <w:rFonts w:asciiTheme="majorHAnsi" w:hAnsiTheme="majorHAnsi"/>
                <w:b/>
                <w:bCs/>
                <w:sz w:val="22"/>
                <w:szCs w:val="22"/>
              </w:rPr>
              <w:t>Impact Channel</w:t>
            </w:r>
          </w:p>
        </w:tc>
        <w:tc>
          <w:tcPr>
            <w:tcW w:w="1158"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b/>
                <w:bCs/>
                <w:sz w:val="22"/>
                <w:szCs w:val="22"/>
              </w:rPr>
            </w:pPr>
            <w:r w:rsidRPr="004F65C6">
              <w:rPr>
                <w:rFonts w:asciiTheme="majorHAnsi" w:hAnsiTheme="majorHAnsi"/>
                <w:b/>
                <w:bCs/>
                <w:sz w:val="22"/>
                <w:szCs w:val="22"/>
              </w:rPr>
              <w:t>Iran</w:t>
            </w:r>
          </w:p>
        </w:tc>
        <w:tc>
          <w:tcPr>
            <w:tcW w:w="1542"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b/>
                <w:bCs/>
                <w:sz w:val="22"/>
                <w:szCs w:val="22"/>
              </w:rPr>
            </w:pPr>
            <w:r w:rsidRPr="004F65C6">
              <w:rPr>
                <w:rFonts w:asciiTheme="majorHAnsi" w:hAnsiTheme="majorHAnsi"/>
                <w:b/>
                <w:bCs/>
                <w:sz w:val="22"/>
                <w:szCs w:val="22"/>
              </w:rPr>
              <w:t>Venezuela</w:t>
            </w:r>
          </w:p>
        </w:tc>
        <w:tc>
          <w:tcPr>
            <w:tcW w:w="126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b/>
                <w:bCs/>
                <w:sz w:val="22"/>
                <w:szCs w:val="22"/>
              </w:rPr>
            </w:pPr>
            <w:r w:rsidRPr="004F65C6">
              <w:rPr>
                <w:rFonts w:asciiTheme="majorHAnsi" w:hAnsiTheme="majorHAnsi"/>
                <w:b/>
                <w:bCs/>
                <w:sz w:val="22"/>
                <w:szCs w:val="22"/>
              </w:rPr>
              <w:t>Russia</w:t>
            </w:r>
          </w:p>
        </w:tc>
        <w:tc>
          <w:tcPr>
            <w:tcW w:w="126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b/>
                <w:bCs/>
                <w:sz w:val="22"/>
                <w:szCs w:val="22"/>
              </w:rPr>
            </w:pPr>
            <w:r w:rsidRPr="004F65C6">
              <w:rPr>
                <w:rFonts w:asciiTheme="majorHAnsi" w:hAnsiTheme="majorHAnsi"/>
                <w:b/>
                <w:bCs/>
                <w:sz w:val="22"/>
                <w:szCs w:val="22"/>
              </w:rPr>
              <w:t>Cuba</w:t>
            </w:r>
          </w:p>
        </w:tc>
        <w:tc>
          <w:tcPr>
            <w:tcW w:w="1538"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b/>
                <w:bCs/>
                <w:sz w:val="22"/>
                <w:szCs w:val="22"/>
              </w:rPr>
            </w:pPr>
            <w:r w:rsidRPr="004F65C6">
              <w:rPr>
                <w:rFonts w:asciiTheme="majorHAnsi" w:hAnsiTheme="majorHAnsi"/>
                <w:b/>
                <w:bCs/>
                <w:sz w:val="22"/>
                <w:szCs w:val="22"/>
              </w:rPr>
              <w:t>Total Sample</w:t>
            </w:r>
          </w:p>
        </w:tc>
      </w:tr>
      <w:tr w:rsidR="004F65C6" w:rsidRPr="004F65C6" w:rsidTr="00A228AD">
        <w:trPr>
          <w:trHeight w:val="740"/>
        </w:trPr>
        <w:tc>
          <w:tcPr>
            <w:tcW w:w="279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b/>
                <w:bCs/>
                <w:sz w:val="22"/>
                <w:szCs w:val="22"/>
              </w:rPr>
              <w:t>Remittance cost savings</w:t>
            </w:r>
          </w:p>
        </w:tc>
        <w:tc>
          <w:tcPr>
            <w:tcW w:w="1158"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124</w:t>
            </w:r>
          </w:p>
        </w:tc>
        <w:tc>
          <w:tcPr>
            <w:tcW w:w="1542"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85</w:t>
            </w:r>
          </w:p>
        </w:tc>
        <w:tc>
          <w:tcPr>
            <w:tcW w:w="126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245</w:t>
            </w:r>
          </w:p>
        </w:tc>
        <w:tc>
          <w:tcPr>
            <w:tcW w:w="126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18</w:t>
            </w:r>
          </w:p>
        </w:tc>
        <w:tc>
          <w:tcPr>
            <w:tcW w:w="1538"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1,340</w:t>
            </w:r>
          </w:p>
        </w:tc>
      </w:tr>
      <w:tr w:rsidR="004F65C6" w:rsidRPr="004F65C6" w:rsidTr="00A228AD">
        <w:trPr>
          <w:trHeight w:val="740"/>
        </w:trPr>
        <w:tc>
          <w:tcPr>
            <w:tcW w:w="279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b/>
                <w:bCs/>
                <w:sz w:val="22"/>
                <w:szCs w:val="22"/>
              </w:rPr>
              <w:t>Inflation hedging value</w:t>
            </w:r>
          </w:p>
        </w:tc>
        <w:tc>
          <w:tcPr>
            <w:tcW w:w="1158"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890</w:t>
            </w:r>
          </w:p>
        </w:tc>
        <w:tc>
          <w:tcPr>
            <w:tcW w:w="1542"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1,120</w:t>
            </w:r>
          </w:p>
        </w:tc>
        <w:tc>
          <w:tcPr>
            <w:tcW w:w="126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340</w:t>
            </w:r>
          </w:p>
        </w:tc>
        <w:tc>
          <w:tcPr>
            <w:tcW w:w="126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w:t>
            </w:r>
          </w:p>
        </w:tc>
        <w:tc>
          <w:tcPr>
            <w:tcW w:w="1538"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2,890</w:t>
            </w:r>
          </w:p>
        </w:tc>
      </w:tr>
      <w:tr w:rsidR="004F65C6" w:rsidRPr="004F65C6" w:rsidTr="00A228AD">
        <w:trPr>
          <w:trHeight w:val="473"/>
        </w:trPr>
        <w:tc>
          <w:tcPr>
            <w:tcW w:w="279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b/>
                <w:bCs/>
                <w:sz w:val="22"/>
                <w:szCs w:val="22"/>
              </w:rPr>
              <w:t>Capital flight costs</w:t>
            </w:r>
          </w:p>
        </w:tc>
        <w:tc>
          <w:tcPr>
            <w:tcW w:w="1158"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-340</w:t>
            </w:r>
          </w:p>
        </w:tc>
        <w:tc>
          <w:tcPr>
            <w:tcW w:w="1542"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-210</w:t>
            </w:r>
          </w:p>
        </w:tc>
        <w:tc>
          <w:tcPr>
            <w:tcW w:w="126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-980</w:t>
            </w:r>
          </w:p>
        </w:tc>
        <w:tc>
          <w:tcPr>
            <w:tcW w:w="126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-8</w:t>
            </w:r>
          </w:p>
        </w:tc>
        <w:tc>
          <w:tcPr>
            <w:tcW w:w="1538"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-2,380</w:t>
            </w:r>
          </w:p>
        </w:tc>
      </w:tr>
      <w:tr w:rsidR="004F65C6" w:rsidRPr="004F65C6" w:rsidTr="00A228AD">
        <w:trPr>
          <w:trHeight w:val="473"/>
        </w:trPr>
        <w:tc>
          <w:tcPr>
            <w:tcW w:w="279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proofErr w:type="spellStart"/>
            <w:r w:rsidRPr="004F65C6">
              <w:rPr>
                <w:rFonts w:asciiTheme="majorHAnsi" w:hAnsiTheme="majorHAnsi"/>
                <w:b/>
                <w:bCs/>
                <w:sz w:val="22"/>
                <w:szCs w:val="22"/>
              </w:rPr>
              <w:t>Seigniorage</w:t>
            </w:r>
            <w:proofErr w:type="spellEnd"/>
            <w:r w:rsidRPr="004F65C6">
              <w:rPr>
                <w:rFonts w:asciiTheme="majorHAnsi" w:hAnsiTheme="majorHAnsi"/>
                <w:b/>
                <w:bCs/>
                <w:sz w:val="22"/>
                <w:szCs w:val="22"/>
              </w:rPr>
              <w:t xml:space="preserve"> loss</w:t>
            </w:r>
          </w:p>
        </w:tc>
        <w:tc>
          <w:tcPr>
            <w:tcW w:w="1158"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-180</w:t>
            </w:r>
          </w:p>
        </w:tc>
        <w:tc>
          <w:tcPr>
            <w:tcW w:w="1542"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-150</w:t>
            </w:r>
          </w:p>
        </w:tc>
        <w:tc>
          <w:tcPr>
            <w:tcW w:w="126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-420</w:t>
            </w:r>
          </w:p>
        </w:tc>
        <w:tc>
          <w:tcPr>
            <w:tcW w:w="126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-12</w:t>
            </w:r>
          </w:p>
        </w:tc>
        <w:tc>
          <w:tcPr>
            <w:tcW w:w="1538"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-1,240</w:t>
            </w:r>
          </w:p>
        </w:tc>
      </w:tr>
      <w:tr w:rsidR="004F65C6" w:rsidRPr="004F65C6" w:rsidTr="00A228AD">
        <w:trPr>
          <w:trHeight w:val="488"/>
        </w:trPr>
        <w:tc>
          <w:tcPr>
            <w:tcW w:w="279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b/>
                <w:bCs/>
                <w:sz w:val="22"/>
                <w:szCs w:val="22"/>
              </w:rPr>
              <w:t>Net welfare effect</w:t>
            </w:r>
          </w:p>
        </w:tc>
        <w:tc>
          <w:tcPr>
            <w:tcW w:w="1158"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+494</w:t>
            </w:r>
          </w:p>
        </w:tc>
        <w:tc>
          <w:tcPr>
            <w:tcW w:w="1542"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+845</w:t>
            </w:r>
          </w:p>
        </w:tc>
        <w:tc>
          <w:tcPr>
            <w:tcW w:w="126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-815</w:t>
            </w:r>
          </w:p>
        </w:tc>
        <w:tc>
          <w:tcPr>
            <w:tcW w:w="1260"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-2</w:t>
            </w:r>
          </w:p>
        </w:tc>
        <w:tc>
          <w:tcPr>
            <w:tcW w:w="1538" w:type="dxa"/>
            <w:tcBorders>
              <w:top w:val="single" w:sz="4" w:space="0" w:color="auto"/>
              <w:left w:val="single" w:sz="4" w:space="0" w:color="auto"/>
              <w:bottom w:val="single" w:sz="4" w:space="0" w:color="auto"/>
              <w:right w:val="single" w:sz="4" w:space="0" w:color="auto"/>
            </w:tcBorders>
            <w:hideMark/>
          </w:tcPr>
          <w:p w:rsidR="004F65C6" w:rsidRPr="004F65C6" w:rsidRDefault="004F65C6" w:rsidP="00A228AD">
            <w:pPr>
              <w:pStyle w:val="BodyText"/>
              <w:spacing w:before="201"/>
              <w:jc w:val="center"/>
              <w:rPr>
                <w:rFonts w:asciiTheme="majorHAnsi" w:hAnsiTheme="majorHAnsi"/>
                <w:sz w:val="22"/>
                <w:szCs w:val="22"/>
              </w:rPr>
            </w:pPr>
            <w:r w:rsidRPr="004F65C6">
              <w:rPr>
                <w:rFonts w:asciiTheme="majorHAnsi" w:hAnsiTheme="majorHAnsi"/>
                <w:sz w:val="22"/>
                <w:szCs w:val="22"/>
              </w:rPr>
              <w:t>+610</w:t>
            </w:r>
          </w:p>
        </w:tc>
      </w:tr>
    </w:tbl>
    <w:p w:rsidR="004F65C6" w:rsidRPr="004F65C6" w:rsidRDefault="004F65C6" w:rsidP="004F65C6">
      <w:pPr>
        <w:pStyle w:val="BodyText"/>
        <w:spacing w:before="201"/>
        <w:jc w:val="both"/>
        <w:rPr>
          <w:rFonts w:asciiTheme="majorHAnsi" w:hAnsiTheme="majorHAnsi"/>
          <w:b/>
          <w:bCs/>
          <w:sz w:val="22"/>
          <w:szCs w:val="22"/>
        </w:rPr>
      </w:pPr>
    </w:p>
    <w:p w:rsidR="004F65C6" w:rsidRPr="004F65C6" w:rsidRDefault="004F65C6" w:rsidP="004F65C6">
      <w:pPr>
        <w:pStyle w:val="BodyText"/>
        <w:spacing w:before="201"/>
        <w:jc w:val="both"/>
        <w:rPr>
          <w:rFonts w:asciiTheme="majorHAnsi" w:hAnsiTheme="majorHAnsi"/>
          <w:b/>
          <w:bCs/>
          <w:sz w:val="22"/>
          <w:szCs w:val="22"/>
        </w:rPr>
      </w:pPr>
      <w:r w:rsidRPr="004F65C6">
        <w:rPr>
          <w:rFonts w:asciiTheme="majorHAnsi" w:hAnsiTheme="majorHAnsi"/>
          <w:b/>
          <w:bCs/>
          <w:sz w:val="22"/>
          <w:szCs w:val="22"/>
        </w:rPr>
        <w:t>Calculations:</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
          <w:bCs/>
          <w:sz w:val="22"/>
          <w:szCs w:val="22"/>
        </w:rPr>
        <w:t xml:space="preserve">• </w:t>
      </w:r>
      <w:r w:rsidRPr="004F65C6">
        <w:rPr>
          <w:rFonts w:asciiTheme="majorHAnsi" w:hAnsiTheme="majorHAnsi"/>
          <w:bCs/>
          <w:sz w:val="22"/>
          <w:szCs w:val="22"/>
        </w:rPr>
        <w:t>Remittance savings: Crypto remittance volume x (Traditional cost (6.8</w:t>
      </w:r>
      <w:proofErr w:type="gramStart"/>
      <w:r w:rsidRPr="004F65C6">
        <w:rPr>
          <w:rFonts w:asciiTheme="majorHAnsi" w:hAnsiTheme="majorHAnsi"/>
          <w:bCs/>
          <w:sz w:val="22"/>
          <w:szCs w:val="22"/>
        </w:rPr>
        <w:t>)-</w:t>
      </w:r>
      <w:proofErr w:type="gramEnd"/>
      <w:r w:rsidRPr="004F65C6">
        <w:rPr>
          <w:rFonts w:asciiTheme="majorHAnsi" w:hAnsiTheme="majorHAnsi"/>
          <w:bCs/>
          <w:sz w:val="22"/>
          <w:szCs w:val="22"/>
        </w:rPr>
        <w:t xml:space="preserve"> crypto cost (1.2)) / Traditional cost (6.8). The Cuban families save on average 50 dollars in a single transaction.</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lastRenderedPageBreak/>
        <w:t>• Inflation hedging: holdings of USTD in the form of wallet multiplied by domestic inflation rate. Venezuelan families with 500 USDT can save 1145 of the buying power by year-end.</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Capital flight costs: The costs of the capital flight decrease foreign reserves and tax base. The cost of every dollar of capital flight to the economy amounts to 32 cents less investment and exposure to crises (</w:t>
      </w:r>
      <w:proofErr w:type="spellStart"/>
      <w:r w:rsidRPr="004F65C6">
        <w:rPr>
          <w:rFonts w:asciiTheme="majorHAnsi" w:hAnsiTheme="majorHAnsi"/>
          <w:bCs/>
          <w:sz w:val="22"/>
          <w:szCs w:val="22"/>
        </w:rPr>
        <w:t>Copestake</w:t>
      </w:r>
      <w:proofErr w:type="spellEnd"/>
      <w:r w:rsidRPr="004F65C6">
        <w:rPr>
          <w:rFonts w:asciiTheme="majorHAnsi" w:hAnsiTheme="majorHAnsi"/>
          <w:bCs/>
          <w:sz w:val="22"/>
          <w:szCs w:val="22"/>
        </w:rPr>
        <w:t xml:space="preserve"> et al., 2023).</w:t>
      </w:r>
    </w:p>
    <w:p w:rsidR="004F65C6" w:rsidRPr="004F65C6" w:rsidRDefault="004F65C6" w:rsidP="004F65C6">
      <w:pPr>
        <w:pStyle w:val="BodyText"/>
        <w:spacing w:before="201"/>
        <w:jc w:val="both"/>
        <w:rPr>
          <w:rFonts w:asciiTheme="majorHAnsi" w:hAnsiTheme="majorHAnsi"/>
          <w:bCs/>
          <w:sz w:val="22"/>
          <w:szCs w:val="22"/>
        </w:rPr>
      </w:pPr>
      <w:proofErr w:type="spellStart"/>
      <w:r w:rsidRPr="004F65C6">
        <w:rPr>
          <w:rFonts w:asciiTheme="majorHAnsi" w:hAnsiTheme="majorHAnsi"/>
          <w:bCs/>
          <w:sz w:val="22"/>
          <w:szCs w:val="22"/>
        </w:rPr>
        <w:t>Seigniorage</w:t>
      </w:r>
      <w:proofErr w:type="spellEnd"/>
      <w:r w:rsidRPr="004F65C6">
        <w:rPr>
          <w:rFonts w:asciiTheme="majorHAnsi" w:hAnsiTheme="majorHAnsi"/>
          <w:bCs/>
          <w:sz w:val="22"/>
          <w:szCs w:val="22"/>
        </w:rPr>
        <w:t xml:space="preserve"> loss: </w:t>
      </w:r>
      <w:proofErr w:type="spellStart"/>
      <w:r w:rsidRPr="004F65C6">
        <w:rPr>
          <w:rFonts w:asciiTheme="majorHAnsi" w:hAnsiTheme="majorHAnsi"/>
          <w:bCs/>
          <w:sz w:val="22"/>
          <w:szCs w:val="22"/>
        </w:rPr>
        <w:t>Cryptocurrency</w:t>
      </w:r>
      <w:proofErr w:type="spellEnd"/>
      <w:r w:rsidRPr="004F65C6">
        <w:rPr>
          <w:rFonts w:asciiTheme="majorHAnsi" w:hAnsiTheme="majorHAnsi"/>
          <w:bCs/>
          <w:sz w:val="22"/>
          <w:szCs w:val="22"/>
        </w:rPr>
        <w:t xml:space="preserve"> deposits will replace domestic currency, and central banks lose </w:t>
      </w:r>
      <w:proofErr w:type="spellStart"/>
      <w:r w:rsidRPr="004F65C6">
        <w:rPr>
          <w:rFonts w:asciiTheme="majorHAnsi" w:hAnsiTheme="majorHAnsi"/>
          <w:bCs/>
          <w:sz w:val="22"/>
          <w:szCs w:val="22"/>
        </w:rPr>
        <w:t>seigniorage</w:t>
      </w:r>
      <w:proofErr w:type="spellEnd"/>
      <w:r w:rsidRPr="004F65C6">
        <w:rPr>
          <w:rFonts w:asciiTheme="majorHAnsi" w:hAnsiTheme="majorHAnsi"/>
          <w:bCs/>
          <w:sz w:val="22"/>
          <w:szCs w:val="22"/>
        </w:rPr>
        <w:t xml:space="preserve"> revenue of an estimated 1.2 percent of the base of displaced money per year.</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 xml:space="preserve">Distributional Analysis: Tehran and Caracas Urban households in Tehran and Caracas obtain 78% of the benefits of inflation hedging because of ownership of smartphones (91% versus 34% rural) and financial literacy. This concentrates welfare gains in the highest quintiles of income, with growth of </w:t>
      </w:r>
      <w:proofErr w:type="spellStart"/>
      <w:r w:rsidRPr="004F65C6">
        <w:rPr>
          <w:rFonts w:asciiTheme="majorHAnsi" w:hAnsiTheme="majorHAnsi"/>
          <w:bCs/>
          <w:sz w:val="22"/>
          <w:szCs w:val="22"/>
        </w:rPr>
        <w:t>Gini</w:t>
      </w:r>
      <w:proofErr w:type="spellEnd"/>
      <w:r w:rsidRPr="004F65C6">
        <w:rPr>
          <w:rFonts w:asciiTheme="majorHAnsi" w:hAnsiTheme="majorHAnsi"/>
          <w:bCs/>
          <w:sz w:val="22"/>
          <w:szCs w:val="22"/>
        </w:rPr>
        <w:t xml:space="preserve"> coefficient by 4.2 in Venezuela and 5.8 in Iran. Rural receivers of remittances on the other hand are enjoying reduced charges but do not have the scale of savings to hedge inflation.</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 xml:space="preserve">CBDC Competition Effects: Central bank Questionnaire: 73 percent of the respondents consider CBDCs as competitors to crypto in dominance of payment. The pilot of a digital </w:t>
      </w:r>
      <w:proofErr w:type="spellStart"/>
      <w:r w:rsidRPr="004F65C6">
        <w:rPr>
          <w:rFonts w:asciiTheme="majorHAnsi" w:hAnsiTheme="majorHAnsi"/>
          <w:bCs/>
          <w:sz w:val="22"/>
          <w:szCs w:val="22"/>
        </w:rPr>
        <w:t>rial</w:t>
      </w:r>
      <w:proofErr w:type="spellEnd"/>
      <w:r w:rsidRPr="004F65C6">
        <w:rPr>
          <w:rFonts w:asciiTheme="majorHAnsi" w:hAnsiTheme="majorHAnsi"/>
          <w:bCs/>
          <w:sz w:val="22"/>
          <w:szCs w:val="22"/>
        </w:rPr>
        <w:t xml:space="preserve"> in Iran (June 2024) should duplicate the speed of crypto (2-second settlement) and still exercise monetary control.</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Still, a lack of trust in the government digital currency (61% of Iranian respondents do not trust government digital currency following the unsuccessful experience with Petro) constrains the adoption of the CBDC to 12% of the level of crypto adoption.</w:t>
      </w:r>
    </w:p>
    <w:p w:rsidR="004F65C6" w:rsidRPr="004F65C6" w:rsidRDefault="004F65C6" w:rsidP="004F65C6">
      <w:pPr>
        <w:pStyle w:val="BodyText"/>
        <w:spacing w:before="201"/>
        <w:jc w:val="both"/>
        <w:rPr>
          <w:rFonts w:asciiTheme="majorHAnsi" w:hAnsiTheme="majorHAnsi"/>
          <w:b/>
          <w:bCs/>
          <w:sz w:val="22"/>
          <w:szCs w:val="22"/>
        </w:rPr>
      </w:pPr>
      <w:r w:rsidRPr="004F65C6">
        <w:rPr>
          <w:rFonts w:asciiTheme="majorHAnsi" w:hAnsiTheme="majorHAnsi"/>
          <w:b/>
          <w:bCs/>
          <w:sz w:val="22"/>
          <w:szCs w:val="22"/>
        </w:rPr>
        <w:t>DISCUSSION</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We have found that sanctions leakage is extensive with crypto, but the 68% portion of trade finance does imply that leakage has legitimate economic purposes. The 31.4 billion of the imports-substitution crypto payments by Russia (2024) are 12 percent of pre-sanctions merchandise exports, which may be important but not regime-sustaining. Crypto trade in strategic goods (dual-use technologies, defense components) is only 8% with most flows funding food, medicine, and industrial inputs that are blocked out of formal banking because of over-compliance (risk-averse de-risking of all jurisdictions by banks).</w:t>
      </w:r>
    </w:p>
    <w:p w:rsidR="004F65C6" w:rsidRPr="004F65C6" w:rsidRDefault="004F65C6" w:rsidP="004F65C6">
      <w:pPr>
        <w:pStyle w:val="BodyText"/>
        <w:numPr>
          <w:ilvl w:val="0"/>
          <w:numId w:val="2"/>
        </w:numPr>
        <w:spacing w:before="201"/>
        <w:jc w:val="both"/>
        <w:rPr>
          <w:rFonts w:asciiTheme="majorHAnsi" w:hAnsiTheme="majorHAnsi"/>
          <w:bCs/>
          <w:sz w:val="22"/>
          <w:szCs w:val="22"/>
        </w:rPr>
      </w:pPr>
      <w:r w:rsidRPr="004F65C6">
        <w:rPr>
          <w:rFonts w:asciiTheme="majorHAnsi" w:hAnsiTheme="majorHAnsi"/>
          <w:bCs/>
          <w:sz w:val="22"/>
          <w:szCs w:val="22"/>
        </w:rPr>
        <w:t>Commodity trading: Russian oil traded to China/India through crypto-settled transactions through Dubai middlemen.</w:t>
      </w:r>
    </w:p>
    <w:p w:rsidR="004F65C6" w:rsidRPr="004F65C6" w:rsidRDefault="004F65C6" w:rsidP="004F65C6">
      <w:pPr>
        <w:pStyle w:val="BodyText"/>
        <w:numPr>
          <w:ilvl w:val="0"/>
          <w:numId w:val="2"/>
        </w:numPr>
        <w:spacing w:before="201"/>
        <w:jc w:val="both"/>
        <w:rPr>
          <w:rFonts w:asciiTheme="majorHAnsi" w:hAnsiTheme="majorHAnsi"/>
          <w:bCs/>
          <w:sz w:val="22"/>
          <w:szCs w:val="22"/>
        </w:rPr>
      </w:pPr>
      <w:r w:rsidRPr="004F65C6">
        <w:rPr>
          <w:rFonts w:asciiTheme="majorHAnsi" w:hAnsiTheme="majorHAnsi"/>
          <w:bCs/>
          <w:sz w:val="22"/>
          <w:szCs w:val="22"/>
        </w:rPr>
        <w:t xml:space="preserve"> Production of inputs: Iranian auto-makers buy the parts through the USDT payments to Turkish manufacturers.</w:t>
      </w:r>
    </w:p>
    <w:p w:rsidR="004F65C6" w:rsidRPr="004F65C6" w:rsidRDefault="004F65C6" w:rsidP="004F65C6">
      <w:pPr>
        <w:pStyle w:val="BodyText"/>
        <w:numPr>
          <w:ilvl w:val="0"/>
          <w:numId w:val="2"/>
        </w:numPr>
        <w:spacing w:before="201"/>
        <w:jc w:val="both"/>
        <w:rPr>
          <w:rFonts w:asciiTheme="majorHAnsi" w:hAnsiTheme="majorHAnsi"/>
          <w:bCs/>
          <w:sz w:val="22"/>
          <w:szCs w:val="22"/>
        </w:rPr>
      </w:pPr>
      <w:r w:rsidRPr="004F65C6">
        <w:rPr>
          <w:rFonts w:asciiTheme="majorHAnsi" w:hAnsiTheme="majorHAnsi"/>
          <w:bCs/>
          <w:sz w:val="22"/>
          <w:szCs w:val="22"/>
        </w:rPr>
        <w:t xml:space="preserve">Services: Russian software companies can get </w:t>
      </w:r>
      <w:proofErr w:type="spellStart"/>
      <w:r w:rsidRPr="004F65C6">
        <w:rPr>
          <w:rFonts w:asciiTheme="majorHAnsi" w:hAnsiTheme="majorHAnsi"/>
          <w:bCs/>
          <w:sz w:val="22"/>
          <w:szCs w:val="22"/>
        </w:rPr>
        <w:t>Ethereum</w:t>
      </w:r>
      <w:proofErr w:type="spellEnd"/>
      <w:r w:rsidRPr="004F65C6">
        <w:rPr>
          <w:rFonts w:asciiTheme="majorHAnsi" w:hAnsiTheme="majorHAnsi"/>
          <w:bCs/>
          <w:sz w:val="22"/>
          <w:szCs w:val="22"/>
        </w:rPr>
        <w:t xml:space="preserve"> as an international export of IT services, bypassing payment limits.</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 xml:space="preserve">Enforcement Efficacy The target activity of targeted entities dropped by 23% due to the labeling of crypto addresses by the OFAC in 90 days, but decentralized exchanges (DEXs, P2P) substitute centralized venues. </w:t>
      </w:r>
      <w:proofErr w:type="spellStart"/>
      <w:r w:rsidRPr="004F65C6">
        <w:rPr>
          <w:rFonts w:asciiTheme="majorHAnsi" w:hAnsiTheme="majorHAnsi"/>
          <w:bCs/>
          <w:sz w:val="22"/>
          <w:szCs w:val="22"/>
        </w:rPr>
        <w:t>Garantex</w:t>
      </w:r>
      <w:proofErr w:type="spellEnd"/>
      <w:r w:rsidRPr="004F65C6">
        <w:rPr>
          <w:rFonts w:asciiTheme="majorHAnsi" w:hAnsiTheme="majorHAnsi"/>
          <w:bCs/>
          <w:sz w:val="22"/>
          <w:szCs w:val="22"/>
        </w:rPr>
        <w:t>, even with sanctions, transacted up to $100 billion in total by doing business out of shadow territories (</w:t>
      </w:r>
      <w:proofErr w:type="spellStart"/>
      <w:r w:rsidRPr="004F65C6">
        <w:rPr>
          <w:rFonts w:asciiTheme="majorHAnsi" w:hAnsiTheme="majorHAnsi"/>
          <w:bCs/>
          <w:sz w:val="22"/>
          <w:szCs w:val="22"/>
        </w:rPr>
        <w:t>Transnistria</w:t>
      </w:r>
      <w:proofErr w:type="spellEnd"/>
      <w:r w:rsidRPr="004F65C6">
        <w:rPr>
          <w:rFonts w:asciiTheme="majorHAnsi" w:hAnsiTheme="majorHAnsi"/>
          <w:bCs/>
          <w:sz w:val="22"/>
          <w:szCs w:val="22"/>
        </w:rPr>
        <w:t>, Abkhazia) with little regulation.</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This whack-a-mole regulation implies that enforcement only strategies are retaliating on diminishing margins.</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Leakage is to be considered in terms of a cost-benefit perspective. This cannot be fully eliminated without draconian steps (internet shutdowns, seizing devices) which would also have a humanitarian price that would be more expensive than the benefits of sanctions. Specialized measures on high-risk flows (dual-use goods, weapons financing) and leaving humanitarian trade finance could be the most efficient in terms of welfare.</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 xml:space="preserve">Sovereignty paradox: central banks in approved economies are facing a dilemma of crypto adoption: monetary policy loses efficacy, whereas banning would leave cross-border payment systems to decentralized networks. </w:t>
      </w:r>
      <w:r w:rsidRPr="004F65C6">
        <w:rPr>
          <w:rFonts w:asciiTheme="majorHAnsi" w:hAnsiTheme="majorHAnsi"/>
          <w:bCs/>
          <w:sz w:val="22"/>
          <w:szCs w:val="22"/>
        </w:rPr>
        <w:lastRenderedPageBreak/>
        <w:t>Strategic hedging is also shown in our questionnaire: 68% of the people respond to actively create CBDCs so that they can compete with crypto in features and still be regulated.</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 xml:space="preserve">Empirical Reality: IR pilot (2024) digital </w:t>
      </w:r>
      <w:proofErr w:type="spellStart"/>
      <w:r w:rsidRPr="004F65C6">
        <w:rPr>
          <w:rFonts w:asciiTheme="majorHAnsi" w:hAnsiTheme="majorHAnsi"/>
          <w:bCs/>
          <w:sz w:val="22"/>
          <w:szCs w:val="22"/>
        </w:rPr>
        <w:t>rial</w:t>
      </w:r>
      <w:proofErr w:type="spellEnd"/>
      <w:r w:rsidRPr="004F65C6">
        <w:rPr>
          <w:rFonts w:asciiTheme="majorHAnsi" w:hAnsiTheme="majorHAnsi"/>
          <w:bCs/>
          <w:sz w:val="22"/>
          <w:szCs w:val="22"/>
        </w:rPr>
        <w:t xml:space="preserve"> has a technical parity (2 seconds settlement) yet has issues with trust. The adoption rate of crypto users who use the digital </w:t>
      </w:r>
      <w:proofErr w:type="spellStart"/>
      <w:r w:rsidRPr="004F65C6">
        <w:rPr>
          <w:rFonts w:asciiTheme="majorHAnsi" w:hAnsiTheme="majorHAnsi"/>
          <w:bCs/>
          <w:sz w:val="22"/>
          <w:szCs w:val="22"/>
        </w:rPr>
        <w:t>rial</w:t>
      </w:r>
      <w:proofErr w:type="spellEnd"/>
      <w:r w:rsidRPr="004F65C6">
        <w:rPr>
          <w:rFonts w:asciiTheme="majorHAnsi" w:hAnsiTheme="majorHAnsi"/>
          <w:bCs/>
          <w:sz w:val="22"/>
          <w:szCs w:val="22"/>
        </w:rPr>
        <w:t xml:space="preserve"> is only 12% and is attributed to fear of government surveillance. An example of state digital currency risks is the Venezuelan Petro failure (2018-2024): the project has raised $735 million, no adoption, and has lost 3-20 billion in a corruption scandal.</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By comparison, the crypto-ruble in Russia (scheduled 2025) incorporates into the infrastructure of the financial sector with the goal of achieving 30 percent cross-border settlement brokerage.</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Implications of Network Effect: The first-mover advantage of Crypto poses switching costs to CBDCs. As the businesses develop the crypto payment systems, the shift to CBDCs will require retraining, software modification, and rebuilding the trust. This is an indication that CBDCs should not be introduced after crypto dominance, but rather before it, which the future sanctions victims should learn.</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 xml:space="preserve">CBDCs need not attempt to displace crypto rails but instead must undertake to interoperate with them. The sovereign credibility paradox might be resolved with a hybrid model in which CBDCs resolve on the public </w:t>
      </w:r>
      <w:proofErr w:type="spellStart"/>
      <w:r w:rsidRPr="004F65C6">
        <w:rPr>
          <w:rFonts w:asciiTheme="majorHAnsi" w:hAnsiTheme="majorHAnsi"/>
          <w:bCs/>
          <w:sz w:val="22"/>
          <w:szCs w:val="22"/>
        </w:rPr>
        <w:t>blockchains</w:t>
      </w:r>
      <w:proofErr w:type="spellEnd"/>
      <w:r w:rsidRPr="004F65C6">
        <w:rPr>
          <w:rFonts w:asciiTheme="majorHAnsi" w:hAnsiTheme="majorHAnsi"/>
          <w:bCs/>
          <w:sz w:val="22"/>
          <w:szCs w:val="22"/>
        </w:rPr>
        <w:t xml:space="preserve"> (e.g. tokenized central bank liabilities on </w:t>
      </w:r>
      <w:proofErr w:type="spellStart"/>
      <w:r w:rsidRPr="004F65C6">
        <w:rPr>
          <w:rFonts w:asciiTheme="majorHAnsi" w:hAnsiTheme="majorHAnsi"/>
          <w:bCs/>
          <w:sz w:val="22"/>
          <w:szCs w:val="22"/>
        </w:rPr>
        <w:t>Ethereum</w:t>
      </w:r>
      <w:proofErr w:type="spellEnd"/>
      <w:r w:rsidRPr="004F65C6">
        <w:rPr>
          <w:rFonts w:asciiTheme="majorHAnsi" w:hAnsiTheme="majorHAnsi"/>
          <w:bCs/>
          <w:sz w:val="22"/>
          <w:szCs w:val="22"/>
        </w:rPr>
        <w:t xml:space="preserve">), where sovereignty is provided, and </w:t>
      </w:r>
      <w:proofErr w:type="spellStart"/>
      <w:r w:rsidRPr="004F65C6">
        <w:rPr>
          <w:rFonts w:asciiTheme="majorHAnsi" w:hAnsiTheme="majorHAnsi"/>
          <w:bCs/>
          <w:sz w:val="22"/>
          <w:szCs w:val="22"/>
        </w:rPr>
        <w:t>permissionless</w:t>
      </w:r>
      <w:proofErr w:type="spellEnd"/>
      <w:r w:rsidRPr="004F65C6">
        <w:rPr>
          <w:rFonts w:asciiTheme="majorHAnsi" w:hAnsiTheme="majorHAnsi"/>
          <w:bCs/>
          <w:sz w:val="22"/>
          <w:szCs w:val="22"/>
        </w:rPr>
        <w:t xml:space="preserve"> access is achieved.</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Opponents further believe that crypto sanctions evasion extends authoritarian regimes by offering them alternative sources of revenue. This is partially corroborated in our data: the Iranian crypto flows of trade finance Total 10.3 billion with an import line of 1.2 billion (12) of the defense and security sector.</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The Lazarus Group of North Korea has stolen up to 1.34 billion in crypto (2024), which is used to finance nuclear and missile development.</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 xml:space="preserve">This generates an ethical externality: the </w:t>
      </w:r>
      <w:proofErr w:type="spellStart"/>
      <w:r w:rsidRPr="004F65C6">
        <w:rPr>
          <w:rFonts w:asciiTheme="majorHAnsi" w:hAnsiTheme="majorHAnsi"/>
          <w:bCs/>
          <w:sz w:val="22"/>
          <w:szCs w:val="22"/>
        </w:rPr>
        <w:t>cryptos</w:t>
      </w:r>
      <w:proofErr w:type="spellEnd"/>
      <w:r w:rsidRPr="004F65C6">
        <w:rPr>
          <w:rFonts w:asciiTheme="majorHAnsi" w:hAnsiTheme="majorHAnsi"/>
          <w:bCs/>
          <w:sz w:val="22"/>
          <w:szCs w:val="22"/>
        </w:rPr>
        <w:t xml:space="preserve"> have a partial net negative impact on ordinary citizens due to the regime stabilization effects.</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Moral Hazard Dilemma:</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 The case in favor of restriction: The adoption of crypto will make regimes more powerful by alleviating the pressure of sanctions and postponing democracies.</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 xml:space="preserve">• Tolerance on the grounds of humanitarian costs: Sanctions are already costly to humanity; crypto is cheaper to humanitarian in terms of remittances and access to imports. </w:t>
      </w:r>
      <w:proofErr w:type="spellStart"/>
      <w:r w:rsidRPr="004F65C6">
        <w:rPr>
          <w:rFonts w:asciiTheme="majorHAnsi" w:hAnsiTheme="majorHAnsi"/>
          <w:bCs/>
          <w:sz w:val="22"/>
          <w:szCs w:val="22"/>
        </w:rPr>
        <w:t>Cryptocurrency</w:t>
      </w:r>
      <w:proofErr w:type="spellEnd"/>
      <w:r w:rsidRPr="004F65C6">
        <w:rPr>
          <w:rFonts w:asciiTheme="majorHAnsi" w:hAnsiTheme="majorHAnsi"/>
          <w:bCs/>
          <w:sz w:val="22"/>
          <w:szCs w:val="22"/>
        </w:rPr>
        <w:t xml:space="preserve"> block is a collective punitive measure, not guaranteed at a change of regimes.</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Empirical Evidence: Venezuela is another regime that has not been toppled by (or is even promoting even greater) crypto adoption, yet Iran has been using crypto to finance regional proxies (Hamas, Hezbollah).</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Nevertheless, the Cuban adoption of crypto is largely civilian-led (70% remittances) and little regime gain.</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This heterogeneity implies context-related ethics: the use of crypto by the pariah states (North Korea) is fundamentally different in comparison with the case of the use by the sanctioned population (Cuban diaspora).</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 xml:space="preserve">We suggest an upright distinction premising on the type of regime and the utilization situation. </w:t>
      </w:r>
      <w:proofErr w:type="spellStart"/>
      <w:r w:rsidRPr="004F65C6">
        <w:rPr>
          <w:rFonts w:asciiTheme="majorHAnsi" w:hAnsiTheme="majorHAnsi"/>
          <w:bCs/>
          <w:sz w:val="22"/>
          <w:szCs w:val="22"/>
        </w:rPr>
        <w:t>Cryptocurrency</w:t>
      </w:r>
      <w:proofErr w:type="spellEnd"/>
      <w:r w:rsidRPr="004F65C6">
        <w:rPr>
          <w:rFonts w:asciiTheme="majorHAnsi" w:hAnsiTheme="majorHAnsi"/>
          <w:bCs/>
          <w:sz w:val="22"/>
          <w:szCs w:val="22"/>
        </w:rPr>
        <w:t xml:space="preserve"> flows into authoritarian authorities, not to assist people, should be penalized to the maximum, and the remittances of civilians and the necessity to exchange should be allowed or even promoted via licensed platforms.</w:t>
      </w:r>
    </w:p>
    <w:p w:rsidR="004F65C6" w:rsidRPr="004F65C6" w:rsidRDefault="004F65C6" w:rsidP="004F65C6">
      <w:pPr>
        <w:pStyle w:val="BodyText"/>
        <w:spacing w:before="201"/>
        <w:jc w:val="both"/>
        <w:rPr>
          <w:rFonts w:asciiTheme="majorHAnsi" w:hAnsiTheme="majorHAnsi"/>
          <w:b/>
          <w:bCs/>
          <w:sz w:val="22"/>
          <w:szCs w:val="22"/>
        </w:rPr>
      </w:pPr>
      <w:proofErr w:type="gramStart"/>
      <w:r w:rsidRPr="004F65C6">
        <w:rPr>
          <w:rFonts w:asciiTheme="majorHAnsi" w:hAnsiTheme="majorHAnsi"/>
          <w:b/>
          <w:bCs/>
          <w:sz w:val="22"/>
          <w:szCs w:val="22"/>
        </w:rPr>
        <w:t>Conclusion/ Recommendations.</w:t>
      </w:r>
      <w:proofErr w:type="gramEnd"/>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 xml:space="preserve">This paper is the first macro-level econometric data on the adoption of </w:t>
      </w:r>
      <w:proofErr w:type="spellStart"/>
      <w:r w:rsidRPr="004F65C6">
        <w:rPr>
          <w:rFonts w:asciiTheme="majorHAnsi" w:hAnsiTheme="majorHAnsi"/>
          <w:bCs/>
          <w:sz w:val="22"/>
          <w:szCs w:val="22"/>
        </w:rPr>
        <w:t>cryptocurrencies</w:t>
      </w:r>
      <w:proofErr w:type="spellEnd"/>
      <w:r w:rsidRPr="004F65C6">
        <w:rPr>
          <w:rFonts w:asciiTheme="majorHAnsi" w:hAnsiTheme="majorHAnsi"/>
          <w:bCs/>
          <w:sz w:val="22"/>
          <w:szCs w:val="22"/>
        </w:rPr>
        <w:t xml:space="preserve"> in approved economies (2015-2024). Five key findings emerge:</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lastRenderedPageBreak/>
        <w:t xml:space="preserve">1. Sanctions Intensity Leads to Adoption: Aggregate crypto adoption has increased 340% since tightening, a 2.4 </w:t>
      </w:r>
      <w:proofErr w:type="spellStart"/>
      <w:r w:rsidRPr="004F65C6">
        <w:rPr>
          <w:rFonts w:asciiTheme="majorHAnsi" w:hAnsiTheme="majorHAnsi"/>
          <w:bCs/>
          <w:sz w:val="22"/>
          <w:szCs w:val="22"/>
        </w:rPr>
        <w:t>pp</w:t>
      </w:r>
      <w:proofErr w:type="spellEnd"/>
      <w:r w:rsidRPr="004F65C6">
        <w:rPr>
          <w:rFonts w:asciiTheme="majorHAnsi" w:hAnsiTheme="majorHAnsi"/>
          <w:bCs/>
          <w:sz w:val="22"/>
          <w:szCs w:val="22"/>
        </w:rPr>
        <w:t xml:space="preserve"> CAI growth per standard deviation SSI growth. The relationship between this and internet access and the cost of energy is mediated and is causal and resistant to placebo tests.</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2. Trade Finance Takes Over: 68 of crypto flows fund import changing, not remittances. Crypto is used by legitimate businesses to keep supply chains of vital goods, which produces systematic leakages in traditional sanctions infrastructure.</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 xml:space="preserve">3. The Welfare Distribution is Inequality: Cost savings of Remittance (1.3 billion a year) and inflation hedging (2.9 billion worth) go to urban elites, raising </w:t>
      </w:r>
      <w:proofErr w:type="spellStart"/>
      <w:r w:rsidRPr="004F65C6">
        <w:rPr>
          <w:rFonts w:asciiTheme="majorHAnsi" w:hAnsiTheme="majorHAnsi"/>
          <w:bCs/>
          <w:sz w:val="22"/>
          <w:szCs w:val="22"/>
        </w:rPr>
        <w:t>Gini</w:t>
      </w:r>
      <w:proofErr w:type="spellEnd"/>
      <w:r w:rsidRPr="004F65C6">
        <w:rPr>
          <w:rFonts w:asciiTheme="majorHAnsi" w:hAnsiTheme="majorHAnsi"/>
          <w:bCs/>
          <w:sz w:val="22"/>
          <w:szCs w:val="22"/>
        </w:rPr>
        <w:t xml:space="preserve"> coefficients by 4-6 points. Rural dwellers are marginalized and not accessible.</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4. Capital Flight Significant but Concentrated: 12% of flows entail capital flight, with 2/3 of that concentrated in Iran (2.1B) and in Russia (9.8B). This will erode financial stability but personal reactions by the elite to policy ambiguity instead of mass flight.</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 xml:space="preserve">5. Policy Dilemma is </w:t>
      </w:r>
      <w:proofErr w:type="gramStart"/>
      <w:r w:rsidRPr="004F65C6">
        <w:rPr>
          <w:rFonts w:asciiTheme="majorHAnsi" w:hAnsiTheme="majorHAnsi"/>
          <w:bCs/>
          <w:sz w:val="22"/>
          <w:szCs w:val="22"/>
        </w:rPr>
        <w:t>Real</w:t>
      </w:r>
      <w:proofErr w:type="gramEnd"/>
      <w:r w:rsidRPr="004F65C6">
        <w:rPr>
          <w:rFonts w:asciiTheme="majorHAnsi" w:hAnsiTheme="majorHAnsi"/>
          <w:bCs/>
          <w:sz w:val="22"/>
          <w:szCs w:val="22"/>
        </w:rPr>
        <w:t>: 73 percent of central bankers believe crypto to be a necessary survival mechanism and 87 percent believe it will lead to the loss of sovereignty. CBDC development tries to compete with each other but has a lack of trust and network effect disadvantages.</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The existing sanctions policy is based on the two-polar model: allow or deny. This does not fit well with a dual-use nature of crypto. We suggest a risk-based framework that is tiered:</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 Remit: Humanitarian goods (food, medicine, civilian technology), SME inputs, and basic infrastructure.</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 xml:space="preserve">Mechanism Licensed VASP Regime in which exchanges have registered with OFAC/UN and put in place blockchain analytics (TRM, </w:t>
      </w:r>
      <w:proofErr w:type="spellStart"/>
      <w:r w:rsidRPr="004F65C6">
        <w:rPr>
          <w:rFonts w:asciiTheme="majorHAnsi" w:hAnsiTheme="majorHAnsi"/>
          <w:bCs/>
          <w:sz w:val="22"/>
          <w:szCs w:val="22"/>
        </w:rPr>
        <w:t>Chainalysis</w:t>
      </w:r>
      <w:proofErr w:type="spellEnd"/>
      <w:r w:rsidRPr="004F65C6">
        <w:rPr>
          <w:rFonts w:asciiTheme="majorHAnsi" w:hAnsiTheme="majorHAnsi"/>
          <w:bCs/>
          <w:sz w:val="22"/>
          <w:szCs w:val="22"/>
        </w:rPr>
        <w:t>) and screen transactions against dual-use goods lists.</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Benefits: De-compliance, sustains supply chains, creates transparency using approved channels.</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 These are: Retail transactions under 10,000, family transfers, individual savings.</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 xml:space="preserve">• Mechanism: De </w:t>
      </w:r>
      <w:proofErr w:type="spellStart"/>
      <w:r w:rsidRPr="004F65C6">
        <w:rPr>
          <w:rFonts w:asciiTheme="majorHAnsi" w:hAnsiTheme="majorHAnsi"/>
          <w:bCs/>
          <w:sz w:val="22"/>
          <w:szCs w:val="22"/>
        </w:rPr>
        <w:t>minimis</w:t>
      </w:r>
      <w:proofErr w:type="spellEnd"/>
      <w:r w:rsidRPr="004F65C6">
        <w:rPr>
          <w:rFonts w:asciiTheme="majorHAnsi" w:hAnsiTheme="majorHAnsi"/>
          <w:bCs/>
          <w:sz w:val="22"/>
          <w:szCs w:val="22"/>
        </w:rPr>
        <w:t xml:space="preserve"> exemption that is capped at annual amounts of 50,000 (per recipient). VASPs also report the aggregated flows and not the individual flow to protect privacy.</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Prohibit use by specified SDN individuals: Require blockchain analytics to identify structuring.</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 Reasons: The utility of humanitarian benefits is higher than the risk of leakage, expenditure on enforcement is more than the benefits lost through prohibition.</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 Scope: Procurement in the defense sector, funding of weapons, transactions of specific entities, mixing services.</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 Mechanism Primary sanctions against VASPs that support such flows; secondary sanctions against correspondent banks; address-level blocking of addressed smart contracts through smart contracts.</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 Innovation: Implement AI-based pattern recognition to detect typologies of sanctions evasion (e.g. chain-hopping, peel chains) onto the real-time.</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 xml:space="preserve">• State-sponsored mining: Authorize mining pools which sell </w:t>
      </w:r>
      <w:proofErr w:type="spellStart"/>
      <w:r w:rsidRPr="004F65C6">
        <w:rPr>
          <w:rFonts w:asciiTheme="majorHAnsi" w:hAnsiTheme="majorHAnsi"/>
          <w:bCs/>
          <w:sz w:val="22"/>
          <w:szCs w:val="22"/>
        </w:rPr>
        <w:t>hashrate</w:t>
      </w:r>
      <w:proofErr w:type="spellEnd"/>
      <w:r w:rsidRPr="004F65C6">
        <w:rPr>
          <w:rFonts w:asciiTheme="majorHAnsi" w:hAnsiTheme="majorHAnsi"/>
          <w:bCs/>
          <w:sz w:val="22"/>
          <w:szCs w:val="22"/>
        </w:rPr>
        <w:t xml:space="preserve"> to specific actors (e.g. Iranian defense contractors).</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 Small-scale individual mining: Accept small-scale mining provided that proceeds of individual mining are sold by licensed VASPs.</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 Energy targeting: Secondary sanctions against those that supply electricity to mining activities in the sanctioned-state on subsidized charges.</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lastRenderedPageBreak/>
        <w:t>International Co-ordination: To avoid jurisdictional arbitrage, the G7 Crypto Sanctions Working Group needs to coordinate their licensing standards, exchange VASP intelligence, and coordinate their enforcement efforts. The AMLA (2028) of the EU is a model of direct crypto supervision.</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 xml:space="preserve">Public-Private Partnership: Have </w:t>
      </w:r>
      <w:proofErr w:type="spellStart"/>
      <w:r w:rsidRPr="004F65C6">
        <w:rPr>
          <w:rFonts w:asciiTheme="majorHAnsi" w:hAnsiTheme="majorHAnsi"/>
          <w:bCs/>
          <w:sz w:val="22"/>
          <w:szCs w:val="22"/>
        </w:rPr>
        <w:t>stablecoin</w:t>
      </w:r>
      <w:proofErr w:type="spellEnd"/>
      <w:r w:rsidRPr="004F65C6">
        <w:rPr>
          <w:rFonts w:asciiTheme="majorHAnsi" w:hAnsiTheme="majorHAnsi"/>
          <w:bCs/>
          <w:sz w:val="22"/>
          <w:szCs w:val="22"/>
        </w:rPr>
        <w:t xml:space="preserve"> issuers (Tether, Circle) and large exchanges (</w:t>
      </w:r>
      <w:proofErr w:type="spellStart"/>
      <w:r w:rsidRPr="004F65C6">
        <w:rPr>
          <w:rFonts w:asciiTheme="majorHAnsi" w:hAnsiTheme="majorHAnsi"/>
          <w:bCs/>
          <w:sz w:val="22"/>
          <w:szCs w:val="22"/>
        </w:rPr>
        <w:t>Binance</w:t>
      </w:r>
      <w:proofErr w:type="spellEnd"/>
      <w:r w:rsidRPr="004F65C6">
        <w:rPr>
          <w:rFonts w:asciiTheme="majorHAnsi" w:hAnsiTheme="majorHAnsi"/>
          <w:bCs/>
          <w:sz w:val="22"/>
          <w:szCs w:val="22"/>
        </w:rPr>
        <w:t xml:space="preserve">, </w:t>
      </w:r>
      <w:proofErr w:type="spellStart"/>
      <w:r w:rsidRPr="004F65C6">
        <w:rPr>
          <w:rFonts w:asciiTheme="majorHAnsi" w:hAnsiTheme="majorHAnsi"/>
          <w:bCs/>
          <w:sz w:val="22"/>
          <w:szCs w:val="22"/>
        </w:rPr>
        <w:t>Coinbase</w:t>
      </w:r>
      <w:proofErr w:type="spellEnd"/>
      <w:r w:rsidRPr="004F65C6">
        <w:rPr>
          <w:rFonts w:asciiTheme="majorHAnsi" w:hAnsiTheme="majorHAnsi"/>
          <w:bCs/>
          <w:sz w:val="22"/>
          <w:szCs w:val="22"/>
        </w:rPr>
        <w:t>) participate in voluntary compliance initiatives providing safe harbor against enforcement in exchange of real-time sanctions screening and reporting transactions. The collaboration of Tether to freeze 41 wallets in Venezuela proves to be feasible.</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Technology Infrastructure: Invest in open-source blockchain analytics tools to empower the country regulators to produce domestic enforcement capabilities so that they are not reliant on any single vendor and to increase procedural fairness.</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Data Limitations: Attribution blockchain is not full; we cover 60 percent of VASP volumes, which is probably lower than actual ones. The inherent nature of privacy coins (</w:t>
      </w:r>
      <w:proofErr w:type="spellStart"/>
      <w:r w:rsidRPr="004F65C6">
        <w:rPr>
          <w:rFonts w:asciiTheme="majorHAnsi" w:hAnsiTheme="majorHAnsi"/>
          <w:bCs/>
          <w:sz w:val="22"/>
          <w:szCs w:val="22"/>
        </w:rPr>
        <w:t>Monero</w:t>
      </w:r>
      <w:proofErr w:type="spellEnd"/>
      <w:r w:rsidRPr="004F65C6">
        <w:rPr>
          <w:rFonts w:asciiTheme="majorHAnsi" w:hAnsiTheme="majorHAnsi"/>
          <w:bCs/>
          <w:sz w:val="22"/>
          <w:szCs w:val="22"/>
        </w:rPr>
        <w:t xml:space="preserve">, </w:t>
      </w:r>
      <w:proofErr w:type="spellStart"/>
      <w:r w:rsidRPr="004F65C6">
        <w:rPr>
          <w:rFonts w:asciiTheme="majorHAnsi" w:hAnsiTheme="majorHAnsi"/>
          <w:bCs/>
          <w:sz w:val="22"/>
          <w:szCs w:val="22"/>
        </w:rPr>
        <w:t>Zcash</w:t>
      </w:r>
      <w:proofErr w:type="spellEnd"/>
      <w:r w:rsidRPr="004F65C6">
        <w:rPr>
          <w:rFonts w:asciiTheme="majorHAnsi" w:hAnsiTheme="majorHAnsi"/>
          <w:bCs/>
          <w:sz w:val="22"/>
          <w:szCs w:val="22"/>
        </w:rPr>
        <w:t>) and mixing services makes it hard to be precise about the policy.</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Causality: Fixed effects and placebo tests can be used to get a causal interpretation, however, sanctions timing can be correlated with unseen institutional weakening. Patterns of UN Security Council vetoes instrumental variables may increase identification.</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Welfare Measurement: Linear relationships are made on our counterfactuals. General equilibrium models of the long-term base effects of monetary dynamics of the crypto would enhance welfare assessment.</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Future Directions:</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w:t>
      </w:r>
      <w:r w:rsidRPr="004F65C6">
        <w:rPr>
          <w:rFonts w:asciiTheme="majorHAnsi" w:hAnsiTheme="majorHAnsi"/>
          <w:bCs/>
          <w:sz w:val="22"/>
          <w:szCs w:val="22"/>
        </w:rPr>
        <w:tab/>
        <w:t>Dynamic panel model using annual country specific data to measure lagged adjustment.</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w:t>
      </w:r>
      <w:r w:rsidRPr="004F65C6">
        <w:rPr>
          <w:rFonts w:asciiTheme="majorHAnsi" w:hAnsiTheme="majorHAnsi"/>
          <w:bCs/>
          <w:sz w:val="22"/>
          <w:szCs w:val="22"/>
        </w:rPr>
        <w:tab/>
      </w:r>
      <w:proofErr w:type="spellStart"/>
      <w:r w:rsidRPr="004F65C6">
        <w:rPr>
          <w:rFonts w:asciiTheme="majorHAnsi" w:hAnsiTheme="majorHAnsi"/>
          <w:bCs/>
          <w:sz w:val="22"/>
          <w:szCs w:val="22"/>
        </w:rPr>
        <w:t>Cryptocurrency</w:t>
      </w:r>
      <w:proofErr w:type="spellEnd"/>
      <w:r w:rsidRPr="004F65C6">
        <w:rPr>
          <w:rFonts w:asciiTheme="majorHAnsi" w:hAnsiTheme="majorHAnsi"/>
          <w:bCs/>
          <w:sz w:val="22"/>
          <w:szCs w:val="22"/>
        </w:rPr>
        <w:t xml:space="preserve"> flow Network analysis to chart sanctions evasion ecosystems.</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w:t>
      </w:r>
      <w:r w:rsidRPr="004F65C6">
        <w:rPr>
          <w:rFonts w:asciiTheme="majorHAnsi" w:hAnsiTheme="majorHAnsi"/>
          <w:bCs/>
          <w:sz w:val="22"/>
          <w:szCs w:val="22"/>
        </w:rPr>
        <w:tab/>
        <w:t>Pilot testing of licensing regimes (e.g. humanitarian corridors in Venezuela).</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w:t>
      </w:r>
      <w:r w:rsidRPr="004F65C6">
        <w:rPr>
          <w:rFonts w:asciiTheme="majorHAnsi" w:hAnsiTheme="majorHAnsi"/>
          <w:bCs/>
          <w:sz w:val="22"/>
          <w:szCs w:val="22"/>
        </w:rPr>
        <w:tab/>
        <w:t>CBDC- crypto interaction models in order to oversee sovereign digital currency design.</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 xml:space="preserve">The change in the transmission of sanctions is the fundamental one of </w:t>
      </w:r>
      <w:proofErr w:type="spellStart"/>
      <w:r w:rsidRPr="004F65C6">
        <w:rPr>
          <w:rFonts w:asciiTheme="majorHAnsi" w:hAnsiTheme="majorHAnsi"/>
          <w:bCs/>
          <w:sz w:val="22"/>
          <w:szCs w:val="22"/>
        </w:rPr>
        <w:t>cryptocurrency</w:t>
      </w:r>
      <w:proofErr w:type="spellEnd"/>
      <w:r w:rsidRPr="004F65C6">
        <w:rPr>
          <w:rFonts w:asciiTheme="majorHAnsi" w:hAnsiTheme="majorHAnsi"/>
          <w:bCs/>
          <w:sz w:val="22"/>
          <w:szCs w:val="22"/>
        </w:rPr>
        <w:t xml:space="preserve">. Trade-based financial warfare was made on institutional </w:t>
      </w:r>
      <w:proofErr w:type="gramStart"/>
      <w:r w:rsidRPr="004F65C6">
        <w:rPr>
          <w:rFonts w:asciiTheme="majorHAnsi" w:hAnsiTheme="majorHAnsi"/>
          <w:bCs/>
          <w:sz w:val="22"/>
          <w:szCs w:val="22"/>
        </w:rPr>
        <w:t>chokepoints,</w:t>
      </w:r>
      <w:proofErr w:type="gramEnd"/>
      <w:r w:rsidRPr="004F65C6">
        <w:rPr>
          <w:rFonts w:asciiTheme="majorHAnsi" w:hAnsiTheme="majorHAnsi"/>
          <w:bCs/>
          <w:sz w:val="22"/>
          <w:szCs w:val="22"/>
        </w:rPr>
        <w:t xml:space="preserve"> however, crypto brings about distributed resilience. Approved economies respond by moving towards networked liquidity pools, away, to sovereign currencies, and away, to state payment systems, to </w:t>
      </w:r>
      <w:proofErr w:type="spellStart"/>
      <w:r w:rsidRPr="004F65C6">
        <w:rPr>
          <w:rFonts w:asciiTheme="majorHAnsi" w:hAnsiTheme="majorHAnsi"/>
          <w:bCs/>
          <w:sz w:val="22"/>
          <w:szCs w:val="22"/>
        </w:rPr>
        <w:t>permissionless</w:t>
      </w:r>
      <w:proofErr w:type="spellEnd"/>
      <w:r w:rsidRPr="004F65C6">
        <w:rPr>
          <w:rFonts w:asciiTheme="majorHAnsi" w:hAnsiTheme="majorHAnsi"/>
          <w:bCs/>
          <w:sz w:val="22"/>
          <w:szCs w:val="22"/>
        </w:rPr>
        <w:t xml:space="preserve"> ledgers.</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This change does not make sanctions irrelevant but requires more intelligent, rather than tougher enforcement. The 340 percent adoption growth is a sign that suppression measures are not enough and cause humanitarian damage and drive activity further into the anonymity. Rather, policymakers must divert the functionality of crypto to legitimate purposes and focus on the high-risk flows precisely.</w:t>
      </w:r>
    </w:p>
    <w:p w:rsidR="004F65C6" w:rsidRPr="004F65C6" w:rsidRDefault="004F65C6" w:rsidP="004F65C6">
      <w:pPr>
        <w:pStyle w:val="BodyText"/>
        <w:spacing w:before="201"/>
        <w:jc w:val="both"/>
        <w:rPr>
          <w:rFonts w:asciiTheme="majorHAnsi" w:hAnsiTheme="majorHAnsi"/>
          <w:bCs/>
          <w:sz w:val="22"/>
          <w:szCs w:val="22"/>
        </w:rPr>
      </w:pPr>
      <w:r w:rsidRPr="004F65C6">
        <w:rPr>
          <w:rFonts w:asciiTheme="majorHAnsi" w:hAnsiTheme="majorHAnsi"/>
          <w:bCs/>
          <w:sz w:val="22"/>
          <w:szCs w:val="22"/>
        </w:rPr>
        <w:t xml:space="preserve">The sovereignty paradox will remain: states will not be able to isolate economies and retain monetary monopoly. The future policy of sanctions should not reject monetary pluralism in which the CBDCs, </w:t>
      </w:r>
      <w:proofErr w:type="spellStart"/>
      <w:r w:rsidRPr="004F65C6">
        <w:rPr>
          <w:rFonts w:asciiTheme="majorHAnsi" w:hAnsiTheme="majorHAnsi"/>
          <w:bCs/>
          <w:sz w:val="22"/>
          <w:szCs w:val="22"/>
        </w:rPr>
        <w:t>stablecoins</w:t>
      </w:r>
      <w:proofErr w:type="spellEnd"/>
      <w:r w:rsidRPr="004F65C6">
        <w:rPr>
          <w:rFonts w:asciiTheme="majorHAnsi" w:hAnsiTheme="majorHAnsi"/>
          <w:bCs/>
          <w:sz w:val="22"/>
          <w:szCs w:val="22"/>
        </w:rPr>
        <w:t xml:space="preserve">, and </w:t>
      </w:r>
      <w:proofErr w:type="spellStart"/>
      <w:r w:rsidRPr="004F65C6">
        <w:rPr>
          <w:rFonts w:asciiTheme="majorHAnsi" w:hAnsiTheme="majorHAnsi"/>
          <w:bCs/>
          <w:sz w:val="22"/>
          <w:szCs w:val="22"/>
        </w:rPr>
        <w:t>Bitcoin</w:t>
      </w:r>
      <w:proofErr w:type="spellEnd"/>
      <w:r w:rsidRPr="004F65C6">
        <w:rPr>
          <w:rFonts w:asciiTheme="majorHAnsi" w:hAnsiTheme="majorHAnsi"/>
          <w:bCs/>
          <w:sz w:val="22"/>
          <w:szCs w:val="22"/>
        </w:rPr>
        <w:t xml:space="preserve"> live in harmony, and regulators find it difficult to measure results (to prevent the financing of weapons) and tools (to outlaw crypto). This necessitates a revision of financial sovereignty as such - no longer as a zero-sum control model, but as a framework of governance to guide rather than ban decentralized finance.</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bCs/>
          <w:sz w:val="22"/>
          <w:szCs w:val="22"/>
        </w:rPr>
        <w:t xml:space="preserve">Ultimately, the emergence of </w:t>
      </w:r>
      <w:proofErr w:type="spellStart"/>
      <w:r w:rsidRPr="004F65C6">
        <w:rPr>
          <w:rFonts w:asciiTheme="majorHAnsi" w:hAnsiTheme="majorHAnsi"/>
          <w:bCs/>
          <w:sz w:val="22"/>
          <w:szCs w:val="22"/>
        </w:rPr>
        <w:t>cryptocurrency</w:t>
      </w:r>
      <w:proofErr w:type="spellEnd"/>
      <w:r w:rsidRPr="004F65C6">
        <w:rPr>
          <w:rFonts w:asciiTheme="majorHAnsi" w:hAnsiTheme="majorHAnsi"/>
          <w:bCs/>
          <w:sz w:val="22"/>
          <w:szCs w:val="22"/>
        </w:rPr>
        <w:t xml:space="preserve"> in approved economies portrays a more insightful reality, which is that technology is ahead of institutions. </w:t>
      </w:r>
      <w:proofErr w:type="gramStart"/>
      <w:r w:rsidRPr="004F65C6">
        <w:rPr>
          <w:rFonts w:asciiTheme="majorHAnsi" w:hAnsiTheme="majorHAnsi"/>
          <w:bCs/>
          <w:sz w:val="22"/>
          <w:szCs w:val="22"/>
        </w:rPr>
        <w:t>A policy that acknowledges this fact and uses the speed and reach</w:t>
      </w:r>
      <w:proofErr w:type="gramEnd"/>
      <w:r w:rsidRPr="004F65C6">
        <w:rPr>
          <w:rFonts w:asciiTheme="majorHAnsi" w:hAnsiTheme="majorHAnsi"/>
          <w:bCs/>
          <w:sz w:val="22"/>
          <w:szCs w:val="22"/>
        </w:rPr>
        <w:t xml:space="preserve"> of crypto and reduces the risks of the system provides the most optimal chance to continue the integrity of sanctions and not compromise humanitarian values. The other one is a world where sanctions are crude tools of common punishment, and crypto is the obvious tool of economic survival.</w:t>
      </w:r>
    </w:p>
    <w:p w:rsidR="004F65C6" w:rsidRPr="004F65C6" w:rsidRDefault="004F65C6" w:rsidP="004F65C6">
      <w:pPr>
        <w:pStyle w:val="BodyText"/>
        <w:spacing w:before="201"/>
        <w:jc w:val="both"/>
        <w:rPr>
          <w:rFonts w:asciiTheme="majorHAnsi" w:hAnsiTheme="majorHAnsi"/>
          <w:b/>
          <w:bCs/>
          <w:sz w:val="22"/>
          <w:szCs w:val="22"/>
        </w:rPr>
      </w:pPr>
      <w:r w:rsidRPr="004F65C6">
        <w:rPr>
          <w:rFonts w:asciiTheme="majorHAnsi" w:hAnsiTheme="majorHAnsi"/>
          <w:b/>
          <w:bCs/>
          <w:sz w:val="22"/>
          <w:szCs w:val="22"/>
        </w:rPr>
        <w:lastRenderedPageBreak/>
        <w:t>References</w:t>
      </w:r>
    </w:p>
    <w:p w:rsidR="004F65C6" w:rsidRPr="004F65C6" w:rsidRDefault="004F65C6" w:rsidP="004F65C6">
      <w:pPr>
        <w:pStyle w:val="BodyText"/>
        <w:spacing w:before="201"/>
        <w:jc w:val="both"/>
        <w:rPr>
          <w:rFonts w:asciiTheme="majorHAnsi" w:hAnsiTheme="majorHAnsi"/>
          <w:sz w:val="22"/>
          <w:szCs w:val="22"/>
        </w:rPr>
      </w:pPr>
      <w:proofErr w:type="gramStart"/>
      <w:r w:rsidRPr="004F65C6">
        <w:rPr>
          <w:rFonts w:asciiTheme="majorHAnsi" w:hAnsiTheme="majorHAnsi"/>
          <w:sz w:val="22"/>
          <w:szCs w:val="22"/>
        </w:rPr>
        <w:t>Adrian, T. (2023).</w:t>
      </w:r>
      <w:proofErr w:type="gramEnd"/>
      <w:r w:rsidRPr="004F65C6">
        <w:rPr>
          <w:rFonts w:asciiTheme="majorHAnsi" w:hAnsiTheme="majorHAnsi"/>
          <w:sz w:val="22"/>
          <w:szCs w:val="22"/>
        </w:rPr>
        <w:t xml:space="preserve"> </w:t>
      </w:r>
      <w:proofErr w:type="gramStart"/>
      <w:r w:rsidRPr="004F65C6">
        <w:rPr>
          <w:rFonts w:asciiTheme="majorHAnsi" w:hAnsiTheme="majorHAnsi"/>
          <w:sz w:val="22"/>
          <w:szCs w:val="22"/>
        </w:rPr>
        <w:t>"</w:t>
      </w:r>
      <w:proofErr w:type="spellStart"/>
      <w:r w:rsidRPr="004F65C6">
        <w:rPr>
          <w:rFonts w:asciiTheme="majorHAnsi" w:hAnsiTheme="majorHAnsi"/>
          <w:sz w:val="22"/>
          <w:szCs w:val="22"/>
        </w:rPr>
        <w:t>Cryptoization</w:t>
      </w:r>
      <w:proofErr w:type="spellEnd"/>
      <w:r w:rsidRPr="004F65C6">
        <w:rPr>
          <w:rFonts w:asciiTheme="majorHAnsi" w:hAnsiTheme="majorHAnsi"/>
          <w:sz w:val="22"/>
          <w:szCs w:val="22"/>
        </w:rPr>
        <w:t xml:space="preserve"> and Monetary Policy."</w:t>
      </w:r>
      <w:proofErr w:type="gramEnd"/>
      <w:r w:rsidRPr="004F65C6">
        <w:rPr>
          <w:rFonts w:asciiTheme="majorHAnsi" w:hAnsiTheme="majorHAnsi"/>
          <w:sz w:val="22"/>
          <w:szCs w:val="22"/>
        </w:rPr>
        <w:t xml:space="preserve"> </w:t>
      </w:r>
      <w:r w:rsidRPr="004F65C6">
        <w:rPr>
          <w:rFonts w:asciiTheme="majorHAnsi" w:hAnsiTheme="majorHAnsi"/>
          <w:i/>
          <w:iCs/>
          <w:sz w:val="22"/>
          <w:szCs w:val="22"/>
        </w:rPr>
        <w:t xml:space="preserve">IMF </w:t>
      </w:r>
      <w:proofErr w:type="spellStart"/>
      <w:r w:rsidRPr="004F65C6">
        <w:rPr>
          <w:rFonts w:asciiTheme="majorHAnsi" w:hAnsiTheme="majorHAnsi"/>
          <w:i/>
          <w:iCs/>
          <w:sz w:val="22"/>
          <w:szCs w:val="22"/>
        </w:rPr>
        <w:t>Fintech</w:t>
      </w:r>
      <w:proofErr w:type="spellEnd"/>
      <w:r w:rsidRPr="004F65C6">
        <w:rPr>
          <w:rFonts w:asciiTheme="majorHAnsi" w:hAnsiTheme="majorHAnsi"/>
          <w:i/>
          <w:iCs/>
          <w:sz w:val="22"/>
          <w:szCs w:val="22"/>
        </w:rPr>
        <w:t xml:space="preserve"> Notes</w:t>
      </w:r>
      <w:r w:rsidRPr="004F65C6">
        <w:rPr>
          <w:rFonts w:asciiTheme="majorHAnsi" w:hAnsiTheme="majorHAnsi"/>
          <w:sz w:val="22"/>
          <w:szCs w:val="22"/>
        </w:rPr>
        <w:t>, 23/01.</w:t>
      </w:r>
    </w:p>
    <w:p w:rsidR="004F65C6" w:rsidRPr="004F65C6" w:rsidRDefault="004F65C6" w:rsidP="004F65C6">
      <w:pPr>
        <w:pStyle w:val="BodyText"/>
        <w:spacing w:before="201"/>
        <w:jc w:val="both"/>
        <w:rPr>
          <w:rFonts w:asciiTheme="majorHAnsi" w:hAnsiTheme="majorHAnsi"/>
          <w:sz w:val="22"/>
          <w:szCs w:val="22"/>
        </w:rPr>
      </w:pPr>
      <w:proofErr w:type="gramStart"/>
      <w:r w:rsidRPr="004F65C6">
        <w:rPr>
          <w:rFonts w:asciiTheme="majorHAnsi" w:hAnsiTheme="majorHAnsi"/>
          <w:sz w:val="22"/>
          <w:szCs w:val="22"/>
        </w:rPr>
        <w:t xml:space="preserve">Auer, R., </w:t>
      </w:r>
      <w:proofErr w:type="spellStart"/>
      <w:r w:rsidRPr="004F65C6">
        <w:rPr>
          <w:rFonts w:asciiTheme="majorHAnsi" w:hAnsiTheme="majorHAnsi"/>
          <w:sz w:val="22"/>
          <w:szCs w:val="22"/>
        </w:rPr>
        <w:t>Cornelli</w:t>
      </w:r>
      <w:proofErr w:type="spellEnd"/>
      <w:r w:rsidRPr="004F65C6">
        <w:rPr>
          <w:rFonts w:asciiTheme="majorHAnsi" w:hAnsiTheme="majorHAnsi"/>
          <w:sz w:val="22"/>
          <w:szCs w:val="22"/>
        </w:rPr>
        <w:t xml:space="preserve">, G., </w:t>
      </w:r>
      <w:proofErr w:type="spellStart"/>
      <w:r w:rsidRPr="004F65C6">
        <w:rPr>
          <w:rFonts w:asciiTheme="majorHAnsi" w:hAnsiTheme="majorHAnsi"/>
          <w:sz w:val="22"/>
          <w:szCs w:val="22"/>
        </w:rPr>
        <w:t>Doerr</w:t>
      </w:r>
      <w:proofErr w:type="spellEnd"/>
      <w:r w:rsidRPr="004F65C6">
        <w:rPr>
          <w:rFonts w:asciiTheme="majorHAnsi" w:hAnsiTheme="majorHAnsi"/>
          <w:sz w:val="22"/>
          <w:szCs w:val="22"/>
        </w:rPr>
        <w:t xml:space="preserve">, S., Frost, J., &amp; </w:t>
      </w:r>
      <w:proofErr w:type="spellStart"/>
      <w:r w:rsidRPr="004F65C6">
        <w:rPr>
          <w:rFonts w:asciiTheme="majorHAnsi" w:hAnsiTheme="majorHAnsi"/>
          <w:sz w:val="22"/>
          <w:szCs w:val="22"/>
        </w:rPr>
        <w:t>Gambacorta</w:t>
      </w:r>
      <w:proofErr w:type="spellEnd"/>
      <w:r w:rsidRPr="004F65C6">
        <w:rPr>
          <w:rFonts w:asciiTheme="majorHAnsi" w:hAnsiTheme="majorHAnsi"/>
          <w:sz w:val="22"/>
          <w:szCs w:val="22"/>
        </w:rPr>
        <w:t>, L. (2025).</w:t>
      </w:r>
      <w:proofErr w:type="gramEnd"/>
      <w:r w:rsidRPr="004F65C6">
        <w:rPr>
          <w:rFonts w:asciiTheme="majorHAnsi" w:hAnsiTheme="majorHAnsi"/>
          <w:sz w:val="22"/>
          <w:szCs w:val="22"/>
        </w:rPr>
        <w:t xml:space="preserve"> "Crypto trading and </w:t>
      </w:r>
      <w:proofErr w:type="spellStart"/>
      <w:r w:rsidRPr="004F65C6">
        <w:rPr>
          <w:rFonts w:asciiTheme="majorHAnsi" w:hAnsiTheme="majorHAnsi"/>
          <w:sz w:val="22"/>
          <w:szCs w:val="22"/>
        </w:rPr>
        <w:t>bitcoin</w:t>
      </w:r>
      <w:proofErr w:type="spellEnd"/>
      <w:r w:rsidRPr="004F65C6">
        <w:rPr>
          <w:rFonts w:asciiTheme="majorHAnsi" w:hAnsiTheme="majorHAnsi"/>
          <w:sz w:val="22"/>
          <w:szCs w:val="22"/>
        </w:rPr>
        <w:t xml:space="preserve"> prices: evidence from a new database of retail adoption." </w:t>
      </w:r>
      <w:r w:rsidRPr="004F65C6">
        <w:rPr>
          <w:rFonts w:asciiTheme="majorHAnsi" w:hAnsiTheme="majorHAnsi"/>
          <w:i/>
          <w:iCs/>
          <w:sz w:val="22"/>
          <w:szCs w:val="22"/>
        </w:rPr>
        <w:t>IMF Economic Review</w:t>
      </w:r>
      <w:r w:rsidRPr="004F65C6">
        <w:rPr>
          <w:rFonts w:asciiTheme="majorHAnsi" w:hAnsiTheme="majorHAnsi"/>
          <w:sz w:val="22"/>
          <w:szCs w:val="22"/>
        </w:rPr>
        <w:t>, 1-36.</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xml:space="preserve">BIS (Bank for International Settlements). </w:t>
      </w:r>
      <w:proofErr w:type="gramStart"/>
      <w:r w:rsidRPr="004F65C6">
        <w:rPr>
          <w:rFonts w:asciiTheme="majorHAnsi" w:hAnsiTheme="majorHAnsi"/>
          <w:sz w:val="22"/>
          <w:szCs w:val="22"/>
        </w:rPr>
        <w:t xml:space="preserve">(2025). "The </w:t>
      </w:r>
      <w:proofErr w:type="spellStart"/>
      <w:r w:rsidRPr="004F65C6">
        <w:rPr>
          <w:rFonts w:asciiTheme="majorHAnsi" w:hAnsiTheme="majorHAnsi"/>
          <w:sz w:val="22"/>
          <w:szCs w:val="22"/>
        </w:rPr>
        <w:t>tokenisation</w:t>
      </w:r>
      <w:proofErr w:type="spellEnd"/>
      <w:r w:rsidRPr="004F65C6">
        <w:rPr>
          <w:rFonts w:asciiTheme="majorHAnsi" w:hAnsiTheme="majorHAnsi"/>
          <w:sz w:val="22"/>
          <w:szCs w:val="22"/>
        </w:rPr>
        <w:t xml:space="preserve"> continuum."</w:t>
      </w:r>
      <w:proofErr w:type="gramEnd"/>
      <w:r w:rsidRPr="004F65C6">
        <w:rPr>
          <w:rFonts w:asciiTheme="majorHAnsi" w:hAnsiTheme="majorHAnsi"/>
          <w:sz w:val="22"/>
          <w:szCs w:val="22"/>
        </w:rPr>
        <w:t xml:space="preserve"> </w:t>
      </w:r>
      <w:r w:rsidRPr="004F65C6">
        <w:rPr>
          <w:rFonts w:asciiTheme="majorHAnsi" w:hAnsiTheme="majorHAnsi"/>
          <w:i/>
          <w:iCs/>
          <w:sz w:val="22"/>
          <w:szCs w:val="22"/>
        </w:rPr>
        <w:t>BIS Bulletin</w:t>
      </w:r>
      <w:r w:rsidRPr="004F65C6">
        <w:rPr>
          <w:rFonts w:asciiTheme="majorHAnsi" w:hAnsiTheme="majorHAnsi"/>
          <w:sz w:val="22"/>
          <w:szCs w:val="22"/>
        </w:rPr>
        <w:t>, 72.</w:t>
      </w:r>
    </w:p>
    <w:p w:rsidR="004F65C6" w:rsidRPr="004F65C6" w:rsidRDefault="004F65C6" w:rsidP="004F65C6">
      <w:pPr>
        <w:pStyle w:val="BodyText"/>
        <w:spacing w:before="201"/>
        <w:jc w:val="both"/>
        <w:rPr>
          <w:rFonts w:asciiTheme="majorHAnsi" w:hAnsiTheme="majorHAnsi"/>
          <w:sz w:val="22"/>
          <w:szCs w:val="22"/>
        </w:rPr>
      </w:pPr>
      <w:proofErr w:type="spellStart"/>
      <w:proofErr w:type="gramStart"/>
      <w:r w:rsidRPr="004F65C6">
        <w:rPr>
          <w:rFonts w:asciiTheme="majorHAnsi" w:hAnsiTheme="majorHAnsi"/>
          <w:sz w:val="22"/>
          <w:szCs w:val="22"/>
        </w:rPr>
        <w:t>Chainalysis</w:t>
      </w:r>
      <w:proofErr w:type="spellEnd"/>
      <w:r w:rsidRPr="004F65C6">
        <w:rPr>
          <w:rFonts w:asciiTheme="majorHAnsi" w:hAnsiTheme="majorHAnsi"/>
          <w:sz w:val="22"/>
          <w:szCs w:val="22"/>
        </w:rPr>
        <w:t>.</w:t>
      </w:r>
      <w:proofErr w:type="gramEnd"/>
      <w:r w:rsidRPr="004F65C6">
        <w:rPr>
          <w:rFonts w:asciiTheme="majorHAnsi" w:hAnsiTheme="majorHAnsi"/>
          <w:sz w:val="22"/>
          <w:szCs w:val="22"/>
        </w:rPr>
        <w:t xml:space="preserve"> (2024). </w:t>
      </w:r>
      <w:proofErr w:type="gramStart"/>
      <w:r w:rsidRPr="004F65C6">
        <w:rPr>
          <w:rFonts w:asciiTheme="majorHAnsi" w:hAnsiTheme="majorHAnsi"/>
          <w:i/>
          <w:iCs/>
          <w:sz w:val="22"/>
          <w:szCs w:val="22"/>
        </w:rPr>
        <w:t>The</w:t>
      </w:r>
      <w:proofErr w:type="gramEnd"/>
      <w:r w:rsidRPr="004F65C6">
        <w:rPr>
          <w:rFonts w:asciiTheme="majorHAnsi" w:hAnsiTheme="majorHAnsi"/>
          <w:i/>
          <w:iCs/>
          <w:sz w:val="22"/>
          <w:szCs w:val="22"/>
        </w:rPr>
        <w:t xml:space="preserve"> 2024 Geography of Crypto Report</w:t>
      </w:r>
      <w:r w:rsidRPr="004F65C6">
        <w:rPr>
          <w:rFonts w:asciiTheme="majorHAnsi" w:hAnsiTheme="majorHAnsi"/>
          <w:sz w:val="22"/>
          <w:szCs w:val="22"/>
        </w:rPr>
        <w:t xml:space="preserve">. </w:t>
      </w:r>
      <w:proofErr w:type="gramStart"/>
      <w:r w:rsidRPr="004F65C6">
        <w:rPr>
          <w:rFonts w:asciiTheme="majorHAnsi" w:hAnsiTheme="majorHAnsi"/>
          <w:sz w:val="22"/>
          <w:szCs w:val="22"/>
        </w:rPr>
        <w:t>October.</w:t>
      </w:r>
      <w:proofErr w:type="gramEnd"/>
    </w:p>
    <w:p w:rsidR="004F65C6" w:rsidRPr="004F65C6" w:rsidRDefault="004F65C6" w:rsidP="004F65C6">
      <w:pPr>
        <w:pStyle w:val="BodyText"/>
        <w:spacing w:before="201"/>
        <w:jc w:val="both"/>
        <w:rPr>
          <w:rFonts w:asciiTheme="majorHAnsi" w:hAnsiTheme="majorHAnsi"/>
          <w:sz w:val="22"/>
          <w:szCs w:val="22"/>
        </w:rPr>
      </w:pPr>
      <w:proofErr w:type="spellStart"/>
      <w:proofErr w:type="gramStart"/>
      <w:r w:rsidRPr="004F65C6">
        <w:rPr>
          <w:rFonts w:asciiTheme="majorHAnsi" w:hAnsiTheme="majorHAnsi"/>
          <w:sz w:val="22"/>
          <w:szCs w:val="22"/>
        </w:rPr>
        <w:t>Copestake</w:t>
      </w:r>
      <w:proofErr w:type="spellEnd"/>
      <w:r w:rsidRPr="004F65C6">
        <w:rPr>
          <w:rFonts w:asciiTheme="majorHAnsi" w:hAnsiTheme="majorHAnsi"/>
          <w:sz w:val="22"/>
          <w:szCs w:val="22"/>
        </w:rPr>
        <w:t xml:space="preserve">, J., Garcia </w:t>
      </w:r>
      <w:proofErr w:type="spellStart"/>
      <w:r w:rsidRPr="004F65C6">
        <w:rPr>
          <w:rFonts w:asciiTheme="majorHAnsi" w:hAnsiTheme="majorHAnsi"/>
          <w:sz w:val="22"/>
          <w:szCs w:val="22"/>
        </w:rPr>
        <w:t>Ocampo</w:t>
      </w:r>
      <w:proofErr w:type="spellEnd"/>
      <w:r w:rsidRPr="004F65C6">
        <w:rPr>
          <w:rFonts w:asciiTheme="majorHAnsi" w:hAnsiTheme="majorHAnsi"/>
          <w:sz w:val="22"/>
          <w:szCs w:val="22"/>
        </w:rPr>
        <w:t xml:space="preserve">, D., &amp; </w:t>
      </w:r>
      <w:proofErr w:type="spellStart"/>
      <w:r w:rsidRPr="004F65C6">
        <w:rPr>
          <w:rFonts w:asciiTheme="majorHAnsi" w:hAnsiTheme="majorHAnsi"/>
          <w:sz w:val="22"/>
          <w:szCs w:val="22"/>
        </w:rPr>
        <w:t>Branzoli</w:t>
      </w:r>
      <w:proofErr w:type="spellEnd"/>
      <w:r w:rsidRPr="004F65C6">
        <w:rPr>
          <w:rFonts w:asciiTheme="majorHAnsi" w:hAnsiTheme="majorHAnsi"/>
          <w:sz w:val="22"/>
          <w:szCs w:val="22"/>
        </w:rPr>
        <w:t>, N. (2023).</w:t>
      </w:r>
      <w:proofErr w:type="gramEnd"/>
      <w:r w:rsidRPr="004F65C6">
        <w:rPr>
          <w:rFonts w:asciiTheme="majorHAnsi" w:hAnsiTheme="majorHAnsi"/>
          <w:sz w:val="22"/>
          <w:szCs w:val="22"/>
        </w:rPr>
        <w:t xml:space="preserve"> "Crypto, tokens and </w:t>
      </w:r>
      <w:proofErr w:type="spellStart"/>
      <w:r w:rsidRPr="004F65C6">
        <w:rPr>
          <w:rFonts w:asciiTheme="majorHAnsi" w:hAnsiTheme="majorHAnsi"/>
          <w:sz w:val="22"/>
          <w:szCs w:val="22"/>
        </w:rPr>
        <w:t>DeFi</w:t>
      </w:r>
      <w:proofErr w:type="spellEnd"/>
      <w:r w:rsidRPr="004F65C6">
        <w:rPr>
          <w:rFonts w:asciiTheme="majorHAnsi" w:hAnsiTheme="majorHAnsi"/>
          <w:sz w:val="22"/>
          <w:szCs w:val="22"/>
        </w:rPr>
        <w:t xml:space="preserve">: navigating the regulatory landscape." </w:t>
      </w:r>
      <w:proofErr w:type="gramStart"/>
      <w:r w:rsidRPr="004F65C6">
        <w:rPr>
          <w:rFonts w:asciiTheme="majorHAnsi" w:hAnsiTheme="majorHAnsi"/>
          <w:i/>
          <w:iCs/>
          <w:sz w:val="22"/>
          <w:szCs w:val="22"/>
        </w:rPr>
        <w:t>FSI Insights</w:t>
      </w:r>
      <w:r w:rsidRPr="004F65C6">
        <w:rPr>
          <w:rFonts w:asciiTheme="majorHAnsi" w:hAnsiTheme="majorHAnsi"/>
          <w:sz w:val="22"/>
          <w:szCs w:val="22"/>
        </w:rPr>
        <w:t>, 43.</w:t>
      </w:r>
      <w:proofErr w:type="gramEnd"/>
    </w:p>
    <w:p w:rsidR="004F65C6" w:rsidRPr="004F65C6" w:rsidRDefault="004F65C6" w:rsidP="004F65C6">
      <w:pPr>
        <w:pStyle w:val="BodyText"/>
        <w:spacing w:before="201"/>
        <w:jc w:val="both"/>
        <w:rPr>
          <w:rFonts w:asciiTheme="majorHAnsi" w:hAnsiTheme="majorHAnsi"/>
          <w:sz w:val="22"/>
          <w:szCs w:val="22"/>
        </w:rPr>
      </w:pPr>
      <w:proofErr w:type="spellStart"/>
      <w:proofErr w:type="gramStart"/>
      <w:r w:rsidRPr="004F65C6">
        <w:rPr>
          <w:rFonts w:asciiTheme="majorHAnsi" w:hAnsiTheme="majorHAnsi"/>
          <w:sz w:val="22"/>
          <w:szCs w:val="22"/>
        </w:rPr>
        <w:t>Fernández-Villaverde</w:t>
      </w:r>
      <w:proofErr w:type="spellEnd"/>
      <w:r w:rsidRPr="004F65C6">
        <w:rPr>
          <w:rFonts w:asciiTheme="majorHAnsi" w:hAnsiTheme="majorHAnsi"/>
          <w:sz w:val="22"/>
          <w:szCs w:val="22"/>
        </w:rPr>
        <w:t xml:space="preserve">, J., &amp; </w:t>
      </w:r>
      <w:proofErr w:type="spellStart"/>
      <w:r w:rsidRPr="004F65C6">
        <w:rPr>
          <w:rFonts w:asciiTheme="majorHAnsi" w:hAnsiTheme="majorHAnsi"/>
          <w:sz w:val="22"/>
          <w:szCs w:val="22"/>
        </w:rPr>
        <w:t>Sanches</w:t>
      </w:r>
      <w:proofErr w:type="spellEnd"/>
      <w:r w:rsidRPr="004F65C6">
        <w:rPr>
          <w:rFonts w:asciiTheme="majorHAnsi" w:hAnsiTheme="majorHAnsi"/>
          <w:sz w:val="22"/>
          <w:szCs w:val="22"/>
        </w:rPr>
        <w:t>, D. (2019).</w:t>
      </w:r>
      <w:proofErr w:type="gramEnd"/>
      <w:r w:rsidRPr="004F65C6">
        <w:rPr>
          <w:rFonts w:asciiTheme="majorHAnsi" w:hAnsiTheme="majorHAnsi"/>
          <w:sz w:val="22"/>
          <w:szCs w:val="22"/>
        </w:rPr>
        <w:t xml:space="preserve"> "Can currency competition work?" </w:t>
      </w:r>
      <w:r w:rsidRPr="004F65C6">
        <w:rPr>
          <w:rFonts w:asciiTheme="majorHAnsi" w:hAnsiTheme="majorHAnsi"/>
          <w:i/>
          <w:iCs/>
          <w:sz w:val="22"/>
          <w:szCs w:val="22"/>
        </w:rPr>
        <w:t>Journal of Monetary Economics</w:t>
      </w:r>
      <w:r w:rsidRPr="004F65C6">
        <w:rPr>
          <w:rFonts w:asciiTheme="majorHAnsi" w:hAnsiTheme="majorHAnsi"/>
          <w:sz w:val="22"/>
          <w:szCs w:val="22"/>
        </w:rPr>
        <w:t>, 106, 1-15.</w:t>
      </w:r>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xml:space="preserve">Fishman, E. (2025). </w:t>
      </w:r>
      <w:r w:rsidRPr="004F65C6">
        <w:rPr>
          <w:rFonts w:asciiTheme="majorHAnsi" w:hAnsiTheme="majorHAnsi"/>
          <w:i/>
          <w:iCs/>
          <w:sz w:val="22"/>
          <w:szCs w:val="22"/>
        </w:rPr>
        <w:t>Chokepoints: American Power in the Age of Economic Warfare</w:t>
      </w:r>
      <w:r w:rsidRPr="004F65C6">
        <w:rPr>
          <w:rFonts w:asciiTheme="majorHAnsi" w:hAnsiTheme="majorHAnsi"/>
          <w:sz w:val="22"/>
          <w:szCs w:val="22"/>
        </w:rPr>
        <w:t xml:space="preserve">. </w:t>
      </w:r>
      <w:proofErr w:type="gramStart"/>
      <w:r w:rsidRPr="004F65C6">
        <w:rPr>
          <w:rFonts w:asciiTheme="majorHAnsi" w:hAnsiTheme="majorHAnsi"/>
          <w:sz w:val="22"/>
          <w:szCs w:val="22"/>
        </w:rPr>
        <w:t>Penguin Random House.</w:t>
      </w:r>
      <w:proofErr w:type="gramEnd"/>
    </w:p>
    <w:p w:rsidR="004F65C6" w:rsidRPr="004F65C6" w:rsidRDefault="004F65C6" w:rsidP="004F65C6">
      <w:pPr>
        <w:pStyle w:val="BodyText"/>
        <w:spacing w:before="201"/>
        <w:jc w:val="both"/>
        <w:rPr>
          <w:rFonts w:asciiTheme="majorHAnsi" w:hAnsiTheme="majorHAnsi"/>
          <w:sz w:val="22"/>
          <w:szCs w:val="22"/>
        </w:rPr>
      </w:pPr>
      <w:proofErr w:type="gramStart"/>
      <w:r w:rsidRPr="004F65C6">
        <w:rPr>
          <w:rFonts w:asciiTheme="majorHAnsi" w:hAnsiTheme="majorHAnsi"/>
          <w:sz w:val="22"/>
          <w:szCs w:val="22"/>
        </w:rPr>
        <w:t xml:space="preserve">Graf von </w:t>
      </w:r>
      <w:proofErr w:type="spellStart"/>
      <w:r w:rsidRPr="004F65C6">
        <w:rPr>
          <w:rFonts w:asciiTheme="majorHAnsi" w:hAnsiTheme="majorHAnsi"/>
          <w:sz w:val="22"/>
          <w:szCs w:val="22"/>
        </w:rPr>
        <w:t>Luckner</w:t>
      </w:r>
      <w:proofErr w:type="spellEnd"/>
      <w:r w:rsidRPr="004F65C6">
        <w:rPr>
          <w:rFonts w:asciiTheme="majorHAnsi" w:hAnsiTheme="majorHAnsi"/>
          <w:sz w:val="22"/>
          <w:szCs w:val="22"/>
        </w:rPr>
        <w:t xml:space="preserve">, C., </w:t>
      </w:r>
      <w:proofErr w:type="spellStart"/>
      <w:r w:rsidRPr="004F65C6">
        <w:rPr>
          <w:rFonts w:asciiTheme="majorHAnsi" w:hAnsiTheme="majorHAnsi"/>
          <w:sz w:val="22"/>
          <w:szCs w:val="22"/>
        </w:rPr>
        <w:t>Koepke</w:t>
      </w:r>
      <w:proofErr w:type="spellEnd"/>
      <w:r w:rsidRPr="004F65C6">
        <w:rPr>
          <w:rFonts w:asciiTheme="majorHAnsi" w:hAnsiTheme="majorHAnsi"/>
          <w:sz w:val="22"/>
          <w:szCs w:val="22"/>
        </w:rPr>
        <w:t xml:space="preserve">, R., &amp; </w:t>
      </w:r>
      <w:proofErr w:type="spellStart"/>
      <w:r w:rsidRPr="004F65C6">
        <w:rPr>
          <w:rFonts w:asciiTheme="majorHAnsi" w:hAnsiTheme="majorHAnsi"/>
          <w:sz w:val="22"/>
          <w:szCs w:val="22"/>
        </w:rPr>
        <w:t>Sgherri</w:t>
      </w:r>
      <w:proofErr w:type="spellEnd"/>
      <w:r w:rsidRPr="004F65C6">
        <w:rPr>
          <w:rFonts w:asciiTheme="majorHAnsi" w:hAnsiTheme="majorHAnsi"/>
          <w:sz w:val="22"/>
          <w:szCs w:val="22"/>
        </w:rPr>
        <w:t>, S. (2024).</w:t>
      </w:r>
      <w:proofErr w:type="gramEnd"/>
      <w:r w:rsidRPr="004F65C6">
        <w:rPr>
          <w:rFonts w:asciiTheme="majorHAnsi" w:hAnsiTheme="majorHAnsi"/>
          <w:sz w:val="22"/>
          <w:szCs w:val="22"/>
        </w:rPr>
        <w:t xml:space="preserve"> </w:t>
      </w:r>
      <w:proofErr w:type="gramStart"/>
      <w:r w:rsidRPr="004F65C6">
        <w:rPr>
          <w:rFonts w:asciiTheme="majorHAnsi" w:hAnsiTheme="majorHAnsi"/>
          <w:sz w:val="22"/>
          <w:szCs w:val="22"/>
        </w:rPr>
        <w:t>"Crypto as a marketplace for capital flight."</w:t>
      </w:r>
      <w:proofErr w:type="gramEnd"/>
      <w:r w:rsidRPr="004F65C6">
        <w:rPr>
          <w:rFonts w:asciiTheme="majorHAnsi" w:hAnsiTheme="majorHAnsi"/>
          <w:sz w:val="22"/>
          <w:szCs w:val="22"/>
        </w:rPr>
        <w:t xml:space="preserve"> </w:t>
      </w:r>
      <w:proofErr w:type="gramStart"/>
      <w:r w:rsidRPr="004F65C6">
        <w:rPr>
          <w:rFonts w:asciiTheme="majorHAnsi" w:hAnsiTheme="majorHAnsi"/>
          <w:i/>
          <w:iCs/>
          <w:sz w:val="22"/>
          <w:szCs w:val="22"/>
        </w:rPr>
        <w:t>IMF Working Paper</w:t>
      </w:r>
      <w:r w:rsidRPr="004F65C6">
        <w:rPr>
          <w:rFonts w:asciiTheme="majorHAnsi" w:hAnsiTheme="majorHAnsi"/>
          <w:sz w:val="22"/>
          <w:szCs w:val="22"/>
        </w:rPr>
        <w:t>, 24/133.</w:t>
      </w:r>
      <w:proofErr w:type="gramEnd"/>
    </w:p>
    <w:p w:rsidR="004F65C6" w:rsidRPr="004F65C6" w:rsidRDefault="004F65C6" w:rsidP="004F65C6">
      <w:pPr>
        <w:pStyle w:val="BodyText"/>
        <w:spacing w:before="201"/>
        <w:jc w:val="both"/>
        <w:rPr>
          <w:rFonts w:asciiTheme="majorHAnsi" w:hAnsiTheme="majorHAnsi"/>
          <w:sz w:val="22"/>
          <w:szCs w:val="22"/>
        </w:rPr>
      </w:pPr>
      <w:proofErr w:type="gramStart"/>
      <w:r w:rsidRPr="004F65C6">
        <w:rPr>
          <w:rFonts w:asciiTheme="majorHAnsi" w:hAnsiTheme="majorHAnsi"/>
          <w:sz w:val="22"/>
          <w:szCs w:val="22"/>
        </w:rPr>
        <w:t>IMF.</w:t>
      </w:r>
      <w:proofErr w:type="gramEnd"/>
      <w:r w:rsidRPr="004F65C6">
        <w:rPr>
          <w:rFonts w:asciiTheme="majorHAnsi" w:hAnsiTheme="majorHAnsi"/>
          <w:sz w:val="22"/>
          <w:szCs w:val="22"/>
        </w:rPr>
        <w:t xml:space="preserve"> (2023). "The rise of crypto assets: implications for financial stability." </w:t>
      </w:r>
      <w:r w:rsidRPr="004F65C6">
        <w:rPr>
          <w:rFonts w:asciiTheme="majorHAnsi" w:hAnsiTheme="majorHAnsi"/>
          <w:i/>
          <w:iCs/>
          <w:sz w:val="22"/>
          <w:szCs w:val="22"/>
        </w:rPr>
        <w:t>Global Financial Stability Report</w:t>
      </w:r>
      <w:r w:rsidRPr="004F65C6">
        <w:rPr>
          <w:rFonts w:asciiTheme="majorHAnsi" w:hAnsiTheme="majorHAnsi"/>
          <w:sz w:val="22"/>
          <w:szCs w:val="22"/>
        </w:rPr>
        <w:t>, Chapter 3.</w:t>
      </w:r>
    </w:p>
    <w:p w:rsidR="004F65C6" w:rsidRPr="004F65C6" w:rsidRDefault="004F65C6" w:rsidP="004F65C6">
      <w:pPr>
        <w:pStyle w:val="BodyText"/>
        <w:spacing w:before="201"/>
        <w:jc w:val="both"/>
        <w:rPr>
          <w:rFonts w:asciiTheme="majorHAnsi" w:hAnsiTheme="majorHAnsi"/>
          <w:sz w:val="22"/>
          <w:szCs w:val="22"/>
        </w:rPr>
      </w:pPr>
      <w:proofErr w:type="gramStart"/>
      <w:r w:rsidRPr="004F65C6">
        <w:rPr>
          <w:rFonts w:asciiTheme="majorHAnsi" w:hAnsiTheme="majorHAnsi"/>
          <w:sz w:val="22"/>
          <w:szCs w:val="22"/>
        </w:rPr>
        <w:t xml:space="preserve">Makarov, I., &amp; </w:t>
      </w:r>
      <w:proofErr w:type="spellStart"/>
      <w:r w:rsidRPr="004F65C6">
        <w:rPr>
          <w:rFonts w:asciiTheme="majorHAnsi" w:hAnsiTheme="majorHAnsi"/>
          <w:sz w:val="22"/>
          <w:szCs w:val="22"/>
        </w:rPr>
        <w:t>Schoar</w:t>
      </w:r>
      <w:proofErr w:type="spellEnd"/>
      <w:r w:rsidRPr="004F65C6">
        <w:rPr>
          <w:rFonts w:asciiTheme="majorHAnsi" w:hAnsiTheme="majorHAnsi"/>
          <w:sz w:val="22"/>
          <w:szCs w:val="22"/>
        </w:rPr>
        <w:t>, A. (2022).</w:t>
      </w:r>
      <w:proofErr w:type="gramEnd"/>
      <w:r w:rsidRPr="004F65C6">
        <w:rPr>
          <w:rFonts w:asciiTheme="majorHAnsi" w:hAnsiTheme="majorHAnsi"/>
          <w:sz w:val="22"/>
          <w:szCs w:val="22"/>
        </w:rPr>
        <w:t xml:space="preserve"> </w:t>
      </w:r>
      <w:proofErr w:type="gramStart"/>
      <w:r w:rsidRPr="004F65C6">
        <w:rPr>
          <w:rFonts w:asciiTheme="majorHAnsi" w:hAnsiTheme="majorHAnsi"/>
          <w:sz w:val="22"/>
          <w:szCs w:val="22"/>
        </w:rPr>
        <w:t xml:space="preserve">"Blockchain analysis of the </w:t>
      </w:r>
      <w:proofErr w:type="spellStart"/>
      <w:r w:rsidRPr="004F65C6">
        <w:rPr>
          <w:rFonts w:asciiTheme="majorHAnsi" w:hAnsiTheme="majorHAnsi"/>
          <w:sz w:val="22"/>
          <w:szCs w:val="22"/>
        </w:rPr>
        <w:t>Bitcoin</w:t>
      </w:r>
      <w:proofErr w:type="spellEnd"/>
      <w:r w:rsidRPr="004F65C6">
        <w:rPr>
          <w:rFonts w:asciiTheme="majorHAnsi" w:hAnsiTheme="majorHAnsi"/>
          <w:sz w:val="22"/>
          <w:szCs w:val="22"/>
        </w:rPr>
        <w:t xml:space="preserve"> market."</w:t>
      </w:r>
      <w:proofErr w:type="gramEnd"/>
      <w:r w:rsidRPr="004F65C6">
        <w:rPr>
          <w:rFonts w:asciiTheme="majorHAnsi" w:hAnsiTheme="majorHAnsi"/>
          <w:sz w:val="22"/>
          <w:szCs w:val="22"/>
        </w:rPr>
        <w:t xml:space="preserve"> </w:t>
      </w:r>
      <w:proofErr w:type="gramStart"/>
      <w:r w:rsidRPr="004F65C6">
        <w:rPr>
          <w:rFonts w:asciiTheme="majorHAnsi" w:hAnsiTheme="majorHAnsi"/>
          <w:i/>
          <w:iCs/>
          <w:sz w:val="22"/>
          <w:szCs w:val="22"/>
        </w:rPr>
        <w:t>Journal of Finance</w:t>
      </w:r>
      <w:r w:rsidRPr="004F65C6">
        <w:rPr>
          <w:rFonts w:asciiTheme="majorHAnsi" w:hAnsiTheme="majorHAnsi"/>
          <w:sz w:val="22"/>
          <w:szCs w:val="22"/>
        </w:rPr>
        <w:t>, 77(6), 3267-3305.</w:t>
      </w:r>
      <w:proofErr w:type="gramEnd"/>
    </w:p>
    <w:p w:rsidR="004F65C6" w:rsidRPr="004F65C6" w:rsidRDefault="004F65C6" w:rsidP="004F65C6">
      <w:pPr>
        <w:pStyle w:val="BodyText"/>
        <w:spacing w:before="201"/>
        <w:jc w:val="both"/>
        <w:rPr>
          <w:rFonts w:asciiTheme="majorHAnsi" w:hAnsiTheme="majorHAnsi"/>
          <w:sz w:val="22"/>
          <w:szCs w:val="22"/>
        </w:rPr>
      </w:pPr>
      <w:r w:rsidRPr="004F65C6">
        <w:rPr>
          <w:rFonts w:asciiTheme="majorHAnsi" w:hAnsiTheme="majorHAnsi"/>
          <w:sz w:val="22"/>
          <w:szCs w:val="22"/>
        </w:rPr>
        <w:t xml:space="preserve">Rey, H. (2025). </w:t>
      </w:r>
      <w:proofErr w:type="gramStart"/>
      <w:r w:rsidRPr="004F65C6">
        <w:rPr>
          <w:rFonts w:asciiTheme="majorHAnsi" w:hAnsiTheme="majorHAnsi"/>
          <w:sz w:val="22"/>
          <w:szCs w:val="22"/>
        </w:rPr>
        <w:t>"</w:t>
      </w:r>
      <w:proofErr w:type="spellStart"/>
      <w:r w:rsidRPr="004F65C6">
        <w:rPr>
          <w:rFonts w:asciiTheme="majorHAnsi" w:hAnsiTheme="majorHAnsi"/>
          <w:sz w:val="22"/>
          <w:szCs w:val="22"/>
        </w:rPr>
        <w:t>Stablecoins</w:t>
      </w:r>
      <w:proofErr w:type="spellEnd"/>
      <w:r w:rsidRPr="004F65C6">
        <w:rPr>
          <w:rFonts w:asciiTheme="majorHAnsi" w:hAnsiTheme="majorHAnsi"/>
          <w:sz w:val="22"/>
          <w:szCs w:val="22"/>
        </w:rPr>
        <w:t>, tokens, and global dominance."</w:t>
      </w:r>
      <w:proofErr w:type="gramEnd"/>
      <w:r w:rsidRPr="004F65C6">
        <w:rPr>
          <w:rFonts w:asciiTheme="majorHAnsi" w:hAnsiTheme="majorHAnsi"/>
          <w:sz w:val="22"/>
          <w:szCs w:val="22"/>
        </w:rPr>
        <w:t xml:space="preserve"> </w:t>
      </w:r>
      <w:proofErr w:type="gramStart"/>
      <w:r w:rsidRPr="004F65C6">
        <w:rPr>
          <w:rFonts w:asciiTheme="majorHAnsi" w:hAnsiTheme="majorHAnsi"/>
          <w:i/>
          <w:iCs/>
          <w:sz w:val="22"/>
          <w:szCs w:val="22"/>
        </w:rPr>
        <w:t>Finance &amp; Development</w:t>
      </w:r>
      <w:r w:rsidRPr="004F65C6">
        <w:rPr>
          <w:rFonts w:asciiTheme="majorHAnsi" w:hAnsiTheme="majorHAnsi"/>
          <w:sz w:val="22"/>
          <w:szCs w:val="22"/>
        </w:rPr>
        <w:t>, IMF, September.</w:t>
      </w:r>
      <w:proofErr w:type="gramEnd"/>
    </w:p>
    <w:p w:rsidR="004F65C6" w:rsidRPr="004F65C6" w:rsidRDefault="004F65C6" w:rsidP="004F65C6">
      <w:pPr>
        <w:pStyle w:val="BodyText"/>
        <w:spacing w:before="201"/>
        <w:jc w:val="both"/>
        <w:rPr>
          <w:rFonts w:asciiTheme="majorHAnsi" w:hAnsiTheme="majorHAnsi"/>
          <w:sz w:val="22"/>
          <w:szCs w:val="22"/>
        </w:rPr>
      </w:pPr>
      <w:proofErr w:type="gramStart"/>
      <w:r w:rsidRPr="004F65C6">
        <w:rPr>
          <w:rFonts w:asciiTheme="majorHAnsi" w:hAnsiTheme="majorHAnsi"/>
          <w:sz w:val="22"/>
          <w:szCs w:val="22"/>
        </w:rPr>
        <w:t>TRM Labs.</w:t>
      </w:r>
      <w:proofErr w:type="gramEnd"/>
      <w:r w:rsidRPr="004F65C6">
        <w:rPr>
          <w:rFonts w:asciiTheme="majorHAnsi" w:hAnsiTheme="majorHAnsi"/>
          <w:sz w:val="22"/>
          <w:szCs w:val="22"/>
        </w:rPr>
        <w:t xml:space="preserve"> </w:t>
      </w:r>
      <w:proofErr w:type="gramStart"/>
      <w:r w:rsidRPr="004F65C6">
        <w:rPr>
          <w:rFonts w:asciiTheme="majorHAnsi" w:hAnsiTheme="majorHAnsi"/>
          <w:sz w:val="22"/>
          <w:szCs w:val="22"/>
        </w:rPr>
        <w:t xml:space="preserve">(2025). </w:t>
      </w:r>
      <w:r w:rsidRPr="004F65C6">
        <w:rPr>
          <w:rFonts w:asciiTheme="majorHAnsi" w:hAnsiTheme="majorHAnsi"/>
          <w:i/>
          <w:iCs/>
          <w:sz w:val="22"/>
          <w:szCs w:val="22"/>
        </w:rPr>
        <w:t>Global Crypto Policy Review Outlook 2025/26</w:t>
      </w:r>
      <w:r w:rsidRPr="004F65C6">
        <w:rPr>
          <w:rFonts w:asciiTheme="majorHAnsi" w:hAnsiTheme="majorHAnsi"/>
          <w:sz w:val="22"/>
          <w:szCs w:val="22"/>
        </w:rPr>
        <w:t>.</w:t>
      </w:r>
      <w:proofErr w:type="gramEnd"/>
      <w:r w:rsidRPr="004F65C6">
        <w:rPr>
          <w:rFonts w:asciiTheme="majorHAnsi" w:hAnsiTheme="majorHAnsi"/>
          <w:sz w:val="22"/>
          <w:szCs w:val="22"/>
        </w:rPr>
        <w:t xml:space="preserve"> </w:t>
      </w:r>
      <w:proofErr w:type="gramStart"/>
      <w:r w:rsidRPr="004F65C6">
        <w:rPr>
          <w:rFonts w:asciiTheme="majorHAnsi" w:hAnsiTheme="majorHAnsi"/>
          <w:sz w:val="22"/>
          <w:szCs w:val="22"/>
        </w:rPr>
        <w:t>December.</w:t>
      </w:r>
      <w:proofErr w:type="gramEnd"/>
    </w:p>
    <w:p w:rsidR="004F65C6" w:rsidRDefault="004F65C6" w:rsidP="004F65C6">
      <w:pPr>
        <w:pStyle w:val="BodyText"/>
        <w:spacing w:before="201"/>
        <w:jc w:val="both"/>
      </w:pPr>
    </w:p>
    <w:p w:rsidR="00BE0F3C" w:rsidRPr="00BE0F3C" w:rsidRDefault="00BE0F3C" w:rsidP="00BE0F3C">
      <w:pPr>
        <w:tabs>
          <w:tab w:val="right" w:pos="10800"/>
        </w:tabs>
        <w:spacing w:line="240" w:lineRule="auto"/>
        <w:jc w:val="both"/>
        <w:rPr>
          <w:rFonts w:asciiTheme="majorHAnsi" w:hAnsiTheme="majorHAnsi"/>
          <w:sz w:val="20"/>
          <w:szCs w:val="20"/>
        </w:rPr>
      </w:pPr>
    </w:p>
    <w:sectPr w:rsidR="00BE0F3C" w:rsidRPr="00BE0F3C" w:rsidSect="00A33522">
      <w:headerReference w:type="default" r:id="rId16"/>
      <w:footerReference w:type="default" r:id="rId17"/>
      <w:pgSz w:w="12240" w:h="15840" w:code="1"/>
      <w:pgMar w:top="720" w:right="720" w:bottom="720" w:left="720" w:header="720" w:footer="720" w:gutter="0"/>
      <w:pgNumType w:start="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810" w:rsidRDefault="00360810" w:rsidP="00BE0F3C">
      <w:pPr>
        <w:spacing w:after="0" w:line="240" w:lineRule="auto"/>
      </w:pPr>
      <w:r>
        <w:separator/>
      </w:r>
    </w:p>
  </w:endnote>
  <w:endnote w:type="continuationSeparator" w:id="0">
    <w:p w:rsidR="00360810" w:rsidRDefault="00360810" w:rsidP="00BE0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957"/>
      <w:gridCol w:w="1102"/>
      <w:gridCol w:w="4957"/>
    </w:tblGrid>
    <w:tr w:rsidR="00BE0F3C">
      <w:trPr>
        <w:trHeight w:val="151"/>
      </w:trPr>
      <w:tc>
        <w:tcPr>
          <w:tcW w:w="2250" w:type="pct"/>
          <w:tcBorders>
            <w:bottom w:val="single" w:sz="4" w:space="0" w:color="4F81BD" w:themeColor="accent1"/>
          </w:tcBorders>
        </w:tcPr>
        <w:p w:rsidR="00BE0F3C" w:rsidRDefault="00BE0F3C">
          <w:pPr>
            <w:pStyle w:val="Header"/>
            <w:rPr>
              <w:rFonts w:asciiTheme="majorHAnsi" w:eastAsiaTheme="majorEastAsia" w:hAnsiTheme="majorHAnsi" w:cstheme="majorBidi"/>
              <w:b/>
              <w:bCs/>
            </w:rPr>
          </w:pPr>
        </w:p>
      </w:tc>
      <w:tc>
        <w:tcPr>
          <w:tcW w:w="500" w:type="pct"/>
          <w:vMerge w:val="restart"/>
          <w:noWrap/>
          <w:vAlign w:val="center"/>
        </w:tcPr>
        <w:p w:rsidR="00BE0F3C" w:rsidRPr="00BE0F3C" w:rsidRDefault="00BE0F3C">
          <w:pPr>
            <w:pStyle w:val="NoSpacing"/>
            <w:rPr>
              <w:rFonts w:asciiTheme="majorHAnsi" w:eastAsiaTheme="majorEastAsia" w:hAnsiTheme="majorHAnsi" w:cstheme="majorBidi"/>
            </w:rPr>
          </w:pPr>
          <w:r w:rsidRPr="00BE0F3C">
            <w:rPr>
              <w:rFonts w:asciiTheme="majorHAnsi" w:eastAsiaTheme="majorEastAsia" w:hAnsiTheme="majorHAnsi" w:cstheme="majorBidi"/>
              <w:b/>
              <w:bCs/>
              <w:sz w:val="20"/>
            </w:rPr>
            <w:t xml:space="preserve">Page </w:t>
          </w:r>
          <w:r w:rsidRPr="00BE0F3C">
            <w:rPr>
              <w:rFonts w:asciiTheme="majorHAnsi" w:hAnsiTheme="majorHAnsi"/>
              <w:sz w:val="20"/>
            </w:rPr>
            <w:fldChar w:fldCharType="begin"/>
          </w:r>
          <w:r w:rsidRPr="00BE0F3C">
            <w:rPr>
              <w:rFonts w:asciiTheme="majorHAnsi" w:hAnsiTheme="majorHAnsi"/>
              <w:sz w:val="20"/>
            </w:rPr>
            <w:instrText xml:space="preserve"> PAGE  \* MERGEFORMAT </w:instrText>
          </w:r>
          <w:r w:rsidRPr="00BE0F3C">
            <w:rPr>
              <w:rFonts w:asciiTheme="majorHAnsi" w:hAnsiTheme="majorHAnsi"/>
              <w:sz w:val="20"/>
            </w:rPr>
            <w:fldChar w:fldCharType="separate"/>
          </w:r>
          <w:r w:rsidR="007570FF" w:rsidRPr="007570FF">
            <w:rPr>
              <w:rFonts w:asciiTheme="majorHAnsi" w:eastAsiaTheme="majorEastAsia" w:hAnsiTheme="majorHAnsi" w:cstheme="majorBidi"/>
              <w:b/>
              <w:bCs/>
              <w:noProof/>
              <w:sz w:val="20"/>
            </w:rPr>
            <w:t>18</w:t>
          </w:r>
          <w:r w:rsidRPr="00BE0F3C">
            <w:rPr>
              <w:rFonts w:asciiTheme="majorHAnsi" w:eastAsiaTheme="majorEastAsia" w:hAnsiTheme="majorHAnsi" w:cstheme="majorBidi"/>
              <w:b/>
              <w:bCs/>
              <w:noProof/>
              <w:sz w:val="20"/>
            </w:rPr>
            <w:fldChar w:fldCharType="end"/>
          </w:r>
        </w:p>
      </w:tc>
      <w:tc>
        <w:tcPr>
          <w:tcW w:w="2250" w:type="pct"/>
          <w:tcBorders>
            <w:bottom w:val="single" w:sz="4" w:space="0" w:color="4F81BD" w:themeColor="accent1"/>
          </w:tcBorders>
        </w:tcPr>
        <w:p w:rsidR="00BE0F3C" w:rsidRDefault="00BE0F3C">
          <w:pPr>
            <w:pStyle w:val="Header"/>
            <w:rPr>
              <w:rFonts w:asciiTheme="majorHAnsi" w:eastAsiaTheme="majorEastAsia" w:hAnsiTheme="majorHAnsi" w:cstheme="majorBidi"/>
              <w:b/>
              <w:bCs/>
            </w:rPr>
          </w:pPr>
        </w:p>
      </w:tc>
    </w:tr>
    <w:tr w:rsidR="00BE0F3C">
      <w:trPr>
        <w:trHeight w:val="150"/>
      </w:trPr>
      <w:tc>
        <w:tcPr>
          <w:tcW w:w="2250" w:type="pct"/>
          <w:tcBorders>
            <w:top w:val="single" w:sz="4" w:space="0" w:color="4F81BD" w:themeColor="accent1"/>
          </w:tcBorders>
        </w:tcPr>
        <w:p w:rsidR="00BE0F3C" w:rsidRDefault="00BE0F3C">
          <w:pPr>
            <w:pStyle w:val="Header"/>
            <w:rPr>
              <w:rFonts w:asciiTheme="majorHAnsi" w:eastAsiaTheme="majorEastAsia" w:hAnsiTheme="majorHAnsi" w:cstheme="majorBidi"/>
              <w:b/>
              <w:bCs/>
            </w:rPr>
          </w:pPr>
        </w:p>
      </w:tc>
      <w:tc>
        <w:tcPr>
          <w:tcW w:w="500" w:type="pct"/>
          <w:vMerge/>
        </w:tcPr>
        <w:p w:rsidR="00BE0F3C" w:rsidRDefault="00BE0F3C">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BE0F3C" w:rsidRDefault="00BE0F3C">
          <w:pPr>
            <w:pStyle w:val="Header"/>
            <w:rPr>
              <w:rFonts w:asciiTheme="majorHAnsi" w:eastAsiaTheme="majorEastAsia" w:hAnsiTheme="majorHAnsi" w:cstheme="majorBidi"/>
              <w:b/>
              <w:bCs/>
            </w:rPr>
          </w:pPr>
        </w:p>
      </w:tc>
    </w:tr>
  </w:tbl>
  <w:p w:rsidR="00BE0F3C" w:rsidRDefault="00BE0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810" w:rsidRDefault="00360810" w:rsidP="00BE0F3C">
      <w:pPr>
        <w:spacing w:after="0" w:line="240" w:lineRule="auto"/>
      </w:pPr>
      <w:r>
        <w:separator/>
      </w:r>
    </w:p>
  </w:footnote>
  <w:footnote w:type="continuationSeparator" w:id="0">
    <w:p w:rsidR="00360810" w:rsidRDefault="00360810" w:rsidP="00BE0F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138" w:rsidRDefault="00801138">
    <w:pPr>
      <w:pStyle w:val="Header"/>
      <w:jc w:val="right"/>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14:anchorId="038F4B99" wp14:editId="2B53DD70">
              <wp:simplePos x="0" y="0"/>
              <wp:positionH relativeFrom="margin">
                <wp:align>center</wp:align>
              </wp:positionH>
              <wp:positionV relativeFrom="page">
                <wp:align>top</wp:align>
              </wp:positionV>
              <wp:extent cx="5943600" cy="777240"/>
              <wp:effectExtent l="0" t="0" r="0" b="0"/>
              <wp:wrapNone/>
              <wp:docPr id="59" name="Rectangle 4"/>
              <wp:cNvGraphicFramePr/>
              <a:graphic xmlns:a="http://schemas.openxmlformats.org/drawingml/2006/main">
                <a:graphicData uri="http://schemas.microsoft.com/office/word/2010/wordprocessingShape">
                  <wps:wsp>
                    <wps:cNvSpPr/>
                    <wps:spPr>
                      <a:xfrm>
                        <a:off x="0" y="0"/>
                        <a:ext cx="5943600" cy="7772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01138" w:rsidRPr="00801138" w:rsidRDefault="00801138" w:rsidP="00801138">
                          <w:pPr>
                            <w:jc w:val="center"/>
                            <w:rPr>
                              <w:rFonts w:asciiTheme="majorHAnsi" w:hAnsiTheme="majorHAnsi"/>
                              <w:b/>
                              <w:sz w:val="28"/>
                            </w:rPr>
                          </w:pPr>
                          <w:r w:rsidRPr="00801138">
                            <w:rPr>
                              <w:rFonts w:asciiTheme="majorHAnsi" w:hAnsiTheme="majorHAnsi"/>
                              <w:b/>
                              <w:sz w:val="28"/>
                            </w:rPr>
                            <w:t>CARC Research in Soc</w:t>
                          </w:r>
                          <w:r w:rsidR="006B21AD">
                            <w:rPr>
                              <w:rFonts w:asciiTheme="majorHAnsi" w:hAnsiTheme="majorHAnsi"/>
                              <w:b/>
                              <w:sz w:val="28"/>
                            </w:rPr>
                            <w:t>ial Sciences 4(1) (2025</w:t>
                          </w:r>
                          <w:r w:rsidR="00A33522">
                            <w:rPr>
                              <w:rFonts w:asciiTheme="majorHAnsi" w:hAnsiTheme="majorHAnsi"/>
                              <w:b/>
                              <w:sz w:val="28"/>
                            </w:rPr>
                            <w:t>) 15-27</w:t>
                          </w:r>
                        </w:p>
                      </w:txbxContent>
                    </wps:txbx>
                    <wps:bodyPr rtlCol="0" anchor="ctr"/>
                  </wps:wsp>
                </a:graphicData>
              </a:graphic>
              <wp14:sizeRelH relativeFrom="margin">
                <wp14:pctWidth>100000</wp14:pctWidth>
              </wp14:sizeRelH>
              <wp14:sizeRelV relativeFrom="topMargin">
                <wp14:pctHeight>85000</wp14:pctHeight>
              </wp14:sizeRelV>
            </wp:anchor>
          </w:drawing>
        </mc:Choice>
        <mc:Fallback>
          <w:pict>
            <v:rect id="Rectangle 4" o:spid="_x0000_s1028" style="position:absolute;left:0;text-align:left;margin-left:0;margin-top:0;width:468pt;height:61.2pt;z-index:251659264;visibility:visible;mso-wrap-style:square;mso-width-percent:1000;mso-height-percent:850;mso-wrap-distance-left:9pt;mso-wrap-distance-top:0;mso-wrap-distance-right:9pt;mso-wrap-distance-bottom:0;mso-position-horizontal:center;mso-position-horizontal-relative:margin;mso-position-vertical:top;mso-position-vertical-relative:page;mso-width-percent:1000;mso-height-percent:85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" fillcolor="#4f81bd [3204]" stroked="f" strokeweight="2pt">
              <v:textbox>
                <w:txbxContent>
                  <w:p w:rsidR="00801138" w:rsidRPr="00801138" w:rsidRDefault="00801138" w:rsidP="00801138">
                    <w:pPr>
                      <w:jc w:val="center"/>
                      <w:rPr>
                        <w:rFonts w:asciiTheme="majorHAnsi" w:hAnsiTheme="majorHAnsi"/>
                        <w:b/>
                        <w:sz w:val="28"/>
                      </w:rPr>
                    </w:pPr>
                    <w:r w:rsidRPr="00801138">
                      <w:rPr>
                        <w:rFonts w:asciiTheme="majorHAnsi" w:hAnsiTheme="majorHAnsi"/>
                        <w:b/>
                        <w:sz w:val="28"/>
                      </w:rPr>
                      <w:t>CARC Research in Soc</w:t>
                    </w:r>
                    <w:r w:rsidR="006B21AD">
                      <w:rPr>
                        <w:rFonts w:asciiTheme="majorHAnsi" w:hAnsiTheme="majorHAnsi"/>
                        <w:b/>
                        <w:sz w:val="28"/>
                      </w:rPr>
                      <w:t>ial Sciences 4(1) (2025</w:t>
                    </w:r>
                    <w:r w:rsidR="00A33522">
                      <w:rPr>
                        <w:rFonts w:asciiTheme="majorHAnsi" w:hAnsiTheme="majorHAnsi"/>
                        <w:b/>
                        <w:sz w:val="28"/>
                      </w:rPr>
                      <w:t>) 15-27</w:t>
                    </w:r>
                  </w:p>
                </w:txbxContent>
              </v:textbox>
              <w10:wrap anchorx="margin" anchory="page"/>
            </v:rect>
          </w:pict>
        </mc:Fallback>
      </mc:AlternateContent>
    </w:r>
  </w:p>
  <w:p w:rsidR="00BE0F3C" w:rsidRPr="00BE0F3C" w:rsidRDefault="00BE0F3C">
    <w:pPr>
      <w:pStyle w:val="Header"/>
      <w:rPr>
        <w:rFonts w:asciiTheme="majorHAnsi" w:hAnsiTheme="majorHAns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32E95"/>
    <w:multiLevelType w:val="multilevel"/>
    <w:tmpl w:val="503C67E8"/>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F0D185B"/>
    <w:multiLevelType w:val="hybridMultilevel"/>
    <w:tmpl w:val="BF5835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206"/>
    <w:rsid w:val="001D45B8"/>
    <w:rsid w:val="00236954"/>
    <w:rsid w:val="00304206"/>
    <w:rsid w:val="00360810"/>
    <w:rsid w:val="004F65C6"/>
    <w:rsid w:val="005C22CC"/>
    <w:rsid w:val="006B21AD"/>
    <w:rsid w:val="007570FF"/>
    <w:rsid w:val="00801138"/>
    <w:rsid w:val="00A33522"/>
    <w:rsid w:val="00BE0F3C"/>
    <w:rsid w:val="00E44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04206"/>
    <w:pPr>
      <w:widowControl w:val="0"/>
      <w:autoSpaceDE w:val="0"/>
      <w:autoSpaceDN w:val="0"/>
      <w:spacing w:after="0" w:line="240" w:lineRule="auto"/>
    </w:pPr>
    <w:rPr>
      <w:rFonts w:ascii="Cambria" w:eastAsia="Cambria" w:hAnsi="Cambria" w:cs="Cambria"/>
      <w:sz w:val="18"/>
      <w:szCs w:val="18"/>
    </w:rPr>
  </w:style>
  <w:style w:type="character" w:customStyle="1" w:styleId="BodyTextChar">
    <w:name w:val="Body Text Char"/>
    <w:basedOn w:val="DefaultParagraphFont"/>
    <w:link w:val="BodyText"/>
    <w:uiPriority w:val="1"/>
    <w:rsid w:val="00304206"/>
    <w:rPr>
      <w:rFonts w:ascii="Cambria" w:eastAsia="Cambria" w:hAnsi="Cambria" w:cs="Cambria"/>
      <w:sz w:val="18"/>
      <w:szCs w:val="18"/>
    </w:rPr>
  </w:style>
  <w:style w:type="table" w:styleId="TableGrid">
    <w:name w:val="Table Grid"/>
    <w:basedOn w:val="TableNormal"/>
    <w:uiPriority w:val="39"/>
    <w:rsid w:val="00BE0F3C"/>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0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F3C"/>
  </w:style>
  <w:style w:type="paragraph" w:styleId="Footer">
    <w:name w:val="footer"/>
    <w:basedOn w:val="Normal"/>
    <w:link w:val="FooterChar"/>
    <w:uiPriority w:val="99"/>
    <w:unhideWhenUsed/>
    <w:rsid w:val="00BE0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F3C"/>
  </w:style>
  <w:style w:type="paragraph" w:styleId="NoSpacing">
    <w:name w:val="No Spacing"/>
    <w:link w:val="NoSpacingChar"/>
    <w:uiPriority w:val="1"/>
    <w:qFormat/>
    <w:rsid w:val="00BE0F3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E0F3C"/>
    <w:rPr>
      <w:rFonts w:eastAsiaTheme="minorEastAsia"/>
      <w:lang w:eastAsia="ja-JP"/>
    </w:rPr>
  </w:style>
  <w:style w:type="paragraph" w:styleId="BalloonText">
    <w:name w:val="Balloon Text"/>
    <w:basedOn w:val="Normal"/>
    <w:link w:val="BalloonTextChar"/>
    <w:uiPriority w:val="99"/>
    <w:semiHidden/>
    <w:unhideWhenUsed/>
    <w:rsid w:val="00BE0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F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04206"/>
    <w:pPr>
      <w:widowControl w:val="0"/>
      <w:autoSpaceDE w:val="0"/>
      <w:autoSpaceDN w:val="0"/>
      <w:spacing w:after="0" w:line="240" w:lineRule="auto"/>
    </w:pPr>
    <w:rPr>
      <w:rFonts w:ascii="Cambria" w:eastAsia="Cambria" w:hAnsi="Cambria" w:cs="Cambria"/>
      <w:sz w:val="18"/>
      <w:szCs w:val="18"/>
    </w:rPr>
  </w:style>
  <w:style w:type="character" w:customStyle="1" w:styleId="BodyTextChar">
    <w:name w:val="Body Text Char"/>
    <w:basedOn w:val="DefaultParagraphFont"/>
    <w:link w:val="BodyText"/>
    <w:uiPriority w:val="1"/>
    <w:rsid w:val="00304206"/>
    <w:rPr>
      <w:rFonts w:ascii="Cambria" w:eastAsia="Cambria" w:hAnsi="Cambria" w:cs="Cambria"/>
      <w:sz w:val="18"/>
      <w:szCs w:val="18"/>
    </w:rPr>
  </w:style>
  <w:style w:type="table" w:styleId="TableGrid">
    <w:name w:val="Table Grid"/>
    <w:basedOn w:val="TableNormal"/>
    <w:uiPriority w:val="39"/>
    <w:rsid w:val="00BE0F3C"/>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0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F3C"/>
  </w:style>
  <w:style w:type="paragraph" w:styleId="Footer">
    <w:name w:val="footer"/>
    <w:basedOn w:val="Normal"/>
    <w:link w:val="FooterChar"/>
    <w:uiPriority w:val="99"/>
    <w:unhideWhenUsed/>
    <w:rsid w:val="00BE0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F3C"/>
  </w:style>
  <w:style w:type="paragraph" w:styleId="NoSpacing">
    <w:name w:val="No Spacing"/>
    <w:link w:val="NoSpacingChar"/>
    <w:uiPriority w:val="1"/>
    <w:qFormat/>
    <w:rsid w:val="00BE0F3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E0F3C"/>
    <w:rPr>
      <w:rFonts w:eastAsiaTheme="minorEastAsia"/>
      <w:lang w:eastAsia="ja-JP"/>
    </w:rPr>
  </w:style>
  <w:style w:type="paragraph" w:styleId="BalloonText">
    <w:name w:val="Balloon Text"/>
    <w:basedOn w:val="Normal"/>
    <w:link w:val="BalloonTextChar"/>
    <w:uiPriority w:val="99"/>
    <w:semiHidden/>
    <w:unhideWhenUsed/>
    <w:rsid w:val="00BE0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F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urnals.carc.com.pk/index.php/CRIS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ournals.carc.com.pk/index.php/CRISS/issue/view/1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journals.carc.com.pk/index.php/CRISS" TargetMode="External"/><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journals.carc.com.pk/index.php/CRISS/index" TargetMode="External"/><Relationship Id="rId14" Type="http://schemas.openxmlformats.org/officeDocument/2006/relationships/hyperlink" Target="https://journals.carc.com.pk/index.php/CRISS/issue/view/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5926</Words>
  <Characters>33781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nlp</dc:creator>
  <cp:lastModifiedBy>nlp</cp:lastModifiedBy>
  <cp:revision>3</cp:revision>
  <dcterms:created xsi:type="dcterms:W3CDTF">2025-12-20T17:17:00Z</dcterms:created>
  <dcterms:modified xsi:type="dcterms:W3CDTF">2025-12-20T17:18:00Z</dcterms:modified>
</cp:coreProperties>
</file>